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D3B9A3F"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047287">
        <w:rPr>
          <w:rFonts w:ascii="Calibri" w:hAnsi="Calibri"/>
        </w:rPr>
        <w:t>ENG</w:t>
      </w:r>
      <w:r w:rsidR="00CC7A2F">
        <w:rPr>
          <w:rFonts w:ascii="Calibri" w:hAnsi="Calibri"/>
        </w:rPr>
        <w:t>12</w:t>
      </w:r>
      <w:r w:rsidRPr="007A395D">
        <w:rPr>
          <w:rFonts w:ascii="Calibri" w:hAnsi="Calibri"/>
        </w:rPr>
        <w:t>-</w:t>
      </w:r>
      <w:r w:rsidR="00702602">
        <w:rPr>
          <w:rFonts w:ascii="Calibri" w:hAnsi="Calibri"/>
        </w:rPr>
        <w:t>3</w:t>
      </w:r>
      <w:r w:rsidRPr="007A395D">
        <w:rPr>
          <w:rFonts w:ascii="Calibri" w:hAnsi="Calibri"/>
        </w:rPr>
        <w:t>.</w:t>
      </w:r>
      <w:r w:rsidR="00A2307E">
        <w:rPr>
          <w:rFonts w:ascii="Calibri" w:hAnsi="Calibri"/>
        </w:rPr>
        <w:t>1</w:t>
      </w:r>
      <w:r w:rsidR="00E558C3" w:rsidRPr="007A395D">
        <w:rPr>
          <w:rFonts w:ascii="Calibri" w:hAnsi="Calibri"/>
        </w:rPr>
        <w:t>.</w:t>
      </w:r>
      <w:r w:rsidR="00A2307E">
        <w:rPr>
          <w:rFonts w:ascii="Calibri" w:hAnsi="Calibri"/>
        </w:rPr>
        <w:t>37</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3173B598" w:rsidR="0080294B" w:rsidRPr="007A395D" w:rsidRDefault="0080294B" w:rsidP="00F36489">
      <w:pPr>
        <w:pStyle w:val="BodyText"/>
        <w:rPr>
          <w:b/>
        </w:rPr>
      </w:pPr>
      <w:r w:rsidRPr="007A395D">
        <w:rPr>
          <w:b/>
        </w:rPr>
        <w:t>□</w:t>
      </w:r>
      <w:r w:rsidRPr="007A395D">
        <w:t xml:space="preserve">  ARM</w:t>
      </w:r>
      <w:r w:rsidR="00037DF4" w:rsidRPr="007A395D">
        <w:tab/>
      </w:r>
      <w:r w:rsidR="00127DB0">
        <w:tab/>
      </w:r>
      <w:r w:rsidR="00CC7A2F">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336EDF" w:rsidRPr="007A395D">
        <w:rPr>
          <w:b/>
        </w:rPr>
        <w:t>□</w:t>
      </w:r>
      <w:r w:rsidRPr="007A395D">
        <w:t xml:space="preserve">  Input</w:t>
      </w:r>
    </w:p>
    <w:p w14:paraId="0BC79547" w14:textId="08F9B24F"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336EDF">
        <w:rPr>
          <w:b/>
        </w:rPr>
        <w:t>x</w:t>
      </w:r>
      <w:r w:rsidRPr="007A395D">
        <w:t xml:space="preserve">  Information</w:t>
      </w:r>
    </w:p>
    <w:p w14:paraId="3E1C02C4" w14:textId="77777777" w:rsidR="0080294B" w:rsidRPr="007A395D" w:rsidRDefault="0080294B" w:rsidP="00F36489">
      <w:pPr>
        <w:pStyle w:val="BodyText"/>
      </w:pPr>
    </w:p>
    <w:p w14:paraId="4DD25FD9" w14:textId="575F0863" w:rsidR="00A446C9" w:rsidRPr="007A395D" w:rsidRDefault="00A446C9" w:rsidP="00F36489">
      <w:pPr>
        <w:pStyle w:val="BodyText"/>
      </w:pPr>
      <w:r w:rsidRPr="007A395D">
        <w:t>Agenda item</w:t>
      </w:r>
      <w:r w:rsidR="001C44A3" w:rsidRPr="007A395D">
        <w:tab/>
      </w:r>
      <w:r w:rsidR="00CC2DCC">
        <w:t>(from agenda)</w:t>
      </w:r>
      <w:r w:rsidR="00CC2DCC">
        <w:tab/>
      </w:r>
      <w:r w:rsidR="0080294B" w:rsidRPr="007A395D">
        <w:tab/>
      </w:r>
      <w:r w:rsidR="0080294B" w:rsidRPr="007A395D">
        <w:tab/>
      </w:r>
      <w:r w:rsidR="00A2307E">
        <w:t>3</w:t>
      </w:r>
      <w:r w:rsidR="0080294B" w:rsidRPr="007A395D">
        <w:t>.</w:t>
      </w:r>
      <w:r w:rsidR="00A2307E">
        <w:t>1</w:t>
      </w:r>
    </w:p>
    <w:p w14:paraId="6CFA6142" w14:textId="1748741C" w:rsidR="00677FAA" w:rsidRDefault="00677FAA" w:rsidP="00677FAA">
      <w:pPr>
        <w:pStyle w:val="BodyText"/>
      </w:pPr>
      <w:r>
        <w:t xml:space="preserve">Workplan </w:t>
      </w:r>
      <w:r w:rsidRPr="007A395D">
        <w:t>Task Number</w:t>
      </w:r>
      <w:r>
        <w:t xml:space="preserve"> / Technical Domain</w:t>
      </w:r>
      <w:r w:rsidRPr="007A395D">
        <w:t xml:space="preserve"> </w:t>
      </w:r>
      <w:r w:rsidRPr="007A395D">
        <w:tab/>
        <w:t>…………………………………</w:t>
      </w:r>
    </w:p>
    <w:p w14:paraId="5C721796" w14:textId="1E7AFDF9" w:rsidR="00677FAA" w:rsidRPr="007A395D" w:rsidRDefault="00677FAA" w:rsidP="00677FAA">
      <w:pPr>
        <w:pStyle w:val="BodyText"/>
      </w:pPr>
      <w:r>
        <w:t>Working Group</w:t>
      </w:r>
      <w:r>
        <w:tab/>
      </w:r>
      <w:r>
        <w:tab/>
      </w:r>
      <w:r>
        <w:tab/>
      </w:r>
      <w:r>
        <w:tab/>
      </w:r>
      <w:r>
        <w:tab/>
      </w:r>
      <w:r w:rsidR="00CC2DCC">
        <w:t xml:space="preserve">WG </w:t>
      </w:r>
      <w:r w:rsidR="00CC7A2F">
        <w:t xml:space="preserve">3 - </w:t>
      </w:r>
      <w:r w:rsidR="00CC7A2F" w:rsidRPr="00CC7A2F">
        <w:t>Radionavigation Services</w:t>
      </w:r>
      <w:r w:rsidR="00CC7A2F">
        <w:t xml:space="preserve"> </w:t>
      </w:r>
    </w:p>
    <w:p w14:paraId="01FC5420" w14:textId="3FB29973" w:rsidR="00362CD9" w:rsidRPr="00D9150E" w:rsidRDefault="00362CD9" w:rsidP="00F36489">
      <w:pPr>
        <w:pStyle w:val="BodyText"/>
        <w:rPr>
          <w:color w:val="FF0000"/>
        </w:rPr>
      </w:pPr>
      <w:r w:rsidRPr="00D9150E">
        <w:t>Author(s)</w:t>
      </w:r>
      <w:r w:rsidR="00FE5674" w:rsidRPr="00D9150E">
        <w:t xml:space="preserve"> / Submitter(s)</w:t>
      </w:r>
      <w:r w:rsidRPr="00D9150E">
        <w:tab/>
      </w:r>
      <w:r w:rsidR="0080294B" w:rsidRPr="00D9150E">
        <w:tab/>
      </w:r>
      <w:r w:rsidR="0080294B" w:rsidRPr="00D9150E">
        <w:tab/>
      </w:r>
      <w:r w:rsidR="00677FAA" w:rsidRPr="00D9150E">
        <w:tab/>
      </w:r>
      <w:r w:rsidR="00CC7A2F" w:rsidRPr="00D9150E">
        <w:t>Manuel López Martínez (GSA), María Mota (Telespazio)</w:t>
      </w:r>
    </w:p>
    <w:p w14:paraId="60BCC120" w14:textId="77777777" w:rsidR="0080294B" w:rsidRPr="00D9150E" w:rsidRDefault="0080294B" w:rsidP="00F36489">
      <w:pPr>
        <w:pStyle w:val="BodyText"/>
      </w:pPr>
    </w:p>
    <w:p w14:paraId="4834080C" w14:textId="45DE4BBB" w:rsidR="00A446C9" w:rsidRPr="00CC2DCC" w:rsidRDefault="00970C53" w:rsidP="00F36489">
      <w:pPr>
        <w:pStyle w:val="Title"/>
        <w:rPr>
          <w:color w:val="00558C"/>
        </w:rPr>
      </w:pPr>
      <w:r>
        <w:rPr>
          <w:color w:val="00558C"/>
        </w:rPr>
        <w:t>Galileo Maritime Safety Information</w:t>
      </w:r>
      <w:r w:rsidR="00AE1D72">
        <w:rPr>
          <w:color w:val="00558C"/>
        </w:rPr>
        <w:t xml:space="preserve"> </w:t>
      </w:r>
      <w:r w:rsidR="007B69DC">
        <w:rPr>
          <w:color w:val="00558C"/>
        </w:rPr>
        <w:t>(MSI)</w:t>
      </w:r>
    </w:p>
    <w:p w14:paraId="0F258596" w14:textId="50FB6E37" w:rsidR="00A446C9" w:rsidRPr="004D4B1B" w:rsidRDefault="00A446C9" w:rsidP="009B5263">
      <w:pPr>
        <w:pStyle w:val="Heading1"/>
      </w:pPr>
      <w:r w:rsidRPr="009B5263">
        <w:t>Summary</w:t>
      </w:r>
    </w:p>
    <w:p w14:paraId="027E9763" w14:textId="4478F804" w:rsidR="00C7316C" w:rsidRDefault="00C7316C" w:rsidP="00C7316C">
      <w:pPr>
        <w:pStyle w:val="BodyText"/>
      </w:pPr>
      <w:r w:rsidRPr="00303EF1">
        <w:t xml:space="preserve">Maritime Safety </w:t>
      </w:r>
      <w:r>
        <w:t xml:space="preserve">Information (MSI) is defined as </w:t>
      </w:r>
      <w:r w:rsidRPr="00303EF1">
        <w:t xml:space="preserve">“navigational and meteorological warnings, meteorological forecasts and other </w:t>
      </w:r>
      <w:r w:rsidRPr="00C7316C">
        <w:rPr>
          <w:u w:val="single"/>
        </w:rPr>
        <w:t>urgent safety related messages broadcast to ships</w:t>
      </w:r>
      <w:r>
        <w:t>”.</w:t>
      </w:r>
    </w:p>
    <w:p w14:paraId="48FCBDCF" w14:textId="77777777" w:rsidR="00C7316C" w:rsidRDefault="00C7316C" w:rsidP="00C7316C">
      <w:pPr>
        <w:pStyle w:val="BodyText"/>
      </w:pPr>
      <w:r>
        <w:t>Any event with an impact on Galileo service performance, that could affect the safety of navigation, is considered urgent information to be communicated to ships in the form of Maritime Safety Information.</w:t>
      </w:r>
    </w:p>
    <w:p w14:paraId="50E1AE8C" w14:textId="351FFEB2" w:rsidR="00636BAE" w:rsidRPr="007A395D" w:rsidRDefault="00C7316C" w:rsidP="00C7316C">
      <w:pPr>
        <w:pStyle w:val="BodyText"/>
      </w:pPr>
      <w:r>
        <w:t xml:space="preserve">The objective of this input paper is to present a proposal for the generation and provision of Galileo related Maritime Safety Information, based in the existing procedures already in place in the maritime domain. </w:t>
      </w:r>
    </w:p>
    <w:p w14:paraId="53733F03" w14:textId="77777777" w:rsidR="00A446C9" w:rsidRPr="007A395D" w:rsidRDefault="00A446C9" w:rsidP="00605E43">
      <w:pPr>
        <w:pStyle w:val="Heading1"/>
      </w:pPr>
      <w:r w:rsidRPr="007A395D">
        <w:t>Background</w:t>
      </w:r>
    </w:p>
    <w:p w14:paraId="549F2534" w14:textId="79073DF3" w:rsidR="00437FD2" w:rsidRPr="00D9150E" w:rsidRDefault="001160CA" w:rsidP="00D9150E">
      <w:pPr>
        <w:pStyle w:val="BodyText"/>
      </w:pPr>
      <w:r>
        <w:t xml:space="preserve">In 2016 </w:t>
      </w:r>
      <w:r w:rsidR="00437FD2">
        <w:t xml:space="preserve">Galileo </w:t>
      </w:r>
      <w:r>
        <w:t>joined</w:t>
      </w:r>
      <w:r w:rsidR="00437FD2">
        <w:t xml:space="preserve"> </w:t>
      </w:r>
      <w:r w:rsidR="00437FD2" w:rsidRPr="000E4964">
        <w:t xml:space="preserve">GPS, GLONASS and Beidou as being a part of the </w:t>
      </w:r>
      <w:r w:rsidRPr="000E4964">
        <w:t>World Wide Radio Navigation System (WWRNS</w:t>
      </w:r>
      <w:r>
        <w:t xml:space="preserve">). </w:t>
      </w:r>
      <w:r w:rsidR="00437FD2">
        <w:t>The IM</w:t>
      </w:r>
      <w:r w:rsidR="00437FD2" w:rsidRPr="00D9150E">
        <w:t>O’s Maritime Safety Committee (MSC)</w:t>
      </w:r>
      <w:r w:rsidR="00437FD2">
        <w:t xml:space="preserve">, during its </w:t>
      </w:r>
      <w:r w:rsidR="00437FD2" w:rsidRPr="00D9150E">
        <w:t>96</w:t>
      </w:r>
      <w:r w:rsidR="00437FD2" w:rsidRPr="00D9150E">
        <w:rPr>
          <w:vertAlign w:val="superscript"/>
        </w:rPr>
        <w:t>th</w:t>
      </w:r>
      <w:r w:rsidR="00437FD2">
        <w:t xml:space="preserve"> </w:t>
      </w:r>
      <w:r w:rsidR="00437FD2" w:rsidRPr="00D9150E">
        <w:t xml:space="preserve">session </w:t>
      </w:r>
      <w:r w:rsidR="00437FD2">
        <w:t>(</w:t>
      </w:r>
      <w:r w:rsidR="00437FD2" w:rsidRPr="00D9150E">
        <w:t>11-20 May 2016</w:t>
      </w:r>
      <w:r w:rsidR="00437FD2">
        <w:t xml:space="preserve">), </w:t>
      </w:r>
      <w:r w:rsidR="00437FD2" w:rsidRPr="00D9150E">
        <w:t>recognise</w:t>
      </w:r>
      <w:r w:rsidR="00437FD2">
        <w:t>d</w:t>
      </w:r>
      <w:r w:rsidR="00437FD2" w:rsidRPr="00D9150E">
        <w:t xml:space="preserve"> the Galileo Open and Search and Rescue (SAR) services as part of the </w:t>
      </w:r>
      <w:r w:rsidRPr="00D9150E">
        <w:t>WWRNS</w:t>
      </w:r>
      <w:r w:rsidR="00437FD2" w:rsidRPr="00D9150E">
        <w:t>.</w:t>
      </w:r>
    </w:p>
    <w:p w14:paraId="281993F7" w14:textId="72E1DCE6" w:rsidR="00437FD2" w:rsidRDefault="00437FD2" w:rsidP="00D9150E">
      <w:pPr>
        <w:pStyle w:val="BodyText"/>
      </w:pPr>
      <w:r>
        <w:t>T</w:t>
      </w:r>
      <w:r w:rsidRPr="00D9150E">
        <w:t xml:space="preserve">his recognition marks an important milestone </w:t>
      </w:r>
      <w:r>
        <w:t xml:space="preserve">for </w:t>
      </w:r>
      <w:r w:rsidRPr="000E4964">
        <w:t>the market uptake of Galileo in the maritime sector</w:t>
      </w:r>
      <w:r>
        <w:t>, in particular fo</w:t>
      </w:r>
      <w:r w:rsidRPr="00D9150E">
        <w:t xml:space="preserve">r the use </w:t>
      </w:r>
      <w:r w:rsidR="001160CA">
        <w:t xml:space="preserve">of Galileo </w:t>
      </w:r>
      <w:r w:rsidRPr="00D9150E">
        <w:t>in commercial shipping</w:t>
      </w:r>
      <w:r w:rsidR="001160CA">
        <w:t xml:space="preserve">, thus </w:t>
      </w:r>
      <w:r w:rsidR="001160CA" w:rsidRPr="00D9150E">
        <w:t>encouraging</w:t>
      </w:r>
      <w:r w:rsidRPr="00D9150E">
        <w:t xml:space="preserve"> a broader use of multi-constel</w:t>
      </w:r>
      <w:r w:rsidR="001160CA" w:rsidRPr="00D9150E">
        <w:t>lation solutions for all users and, by doing so, improving</w:t>
      </w:r>
      <w:r w:rsidRPr="00D9150E">
        <w:t xml:space="preserve"> safety at sea. </w:t>
      </w:r>
    </w:p>
    <w:p w14:paraId="5DE4549F" w14:textId="3D84FD49" w:rsidR="00C7316C" w:rsidRDefault="00C7316C" w:rsidP="00D9150E">
      <w:pPr>
        <w:pStyle w:val="BodyText"/>
      </w:pPr>
      <w:r>
        <w:t>In line with the operational requirements stated in IMO Resolution A.1046 for WWRNS, and also in order to guarantee safe marine navigation using Galileo Services, a formal Galileo Procedure for the generation and provision of Galileo MSI is to be defined and implemented.</w:t>
      </w:r>
    </w:p>
    <w:p w14:paraId="349B560E" w14:textId="3BA6D170" w:rsidR="00C7316C" w:rsidRPr="00D9150E" w:rsidRDefault="00C7316C" w:rsidP="00D9150E">
      <w:pPr>
        <w:pStyle w:val="BodyText"/>
      </w:pPr>
      <w:r>
        <w:t>The main MSI characteristics, used as reference for the definition of this procedure are included in this paper.</w:t>
      </w:r>
    </w:p>
    <w:p w14:paraId="5A73D1A0" w14:textId="6162A4BE" w:rsidR="00437FD2" w:rsidRDefault="0068008E" w:rsidP="00D9150E">
      <w:pPr>
        <w:pStyle w:val="Heading2"/>
      </w:pPr>
      <w:r>
        <w:t>M</w:t>
      </w:r>
      <w:r w:rsidR="00BE7DD7">
        <w:t xml:space="preserve">aritime </w:t>
      </w:r>
      <w:r>
        <w:t>S</w:t>
      </w:r>
      <w:r w:rsidR="00BE7DD7">
        <w:t xml:space="preserve">afety </w:t>
      </w:r>
      <w:r>
        <w:t>I</w:t>
      </w:r>
      <w:r w:rsidR="00BE7DD7">
        <w:t>nformation</w:t>
      </w:r>
    </w:p>
    <w:p w14:paraId="64DE5B00" w14:textId="77777777" w:rsidR="007B69DC" w:rsidRDefault="007B69DC" w:rsidP="007B69DC">
      <w:pPr>
        <w:pStyle w:val="BodyText"/>
      </w:pPr>
      <w:r w:rsidRPr="00303EF1">
        <w:t xml:space="preserve">Maritime Safety Information (MSI) is defined in the Safety of </w:t>
      </w:r>
      <w:r w:rsidRPr="00B43214">
        <w:t>Life at Sea (SOLAS) Convention</w:t>
      </w:r>
      <w:r>
        <w:t xml:space="preserve"> </w:t>
      </w:r>
      <w:r>
        <w:fldChar w:fldCharType="begin"/>
      </w:r>
      <w:r>
        <w:instrText xml:space="preserve"> REF _Ref49447459 \r \h </w:instrText>
      </w:r>
      <w:r>
        <w:fldChar w:fldCharType="separate"/>
      </w:r>
      <w:r>
        <w:t>[2]</w:t>
      </w:r>
      <w:r>
        <w:fldChar w:fldCharType="end"/>
      </w:r>
      <w:r>
        <w:t xml:space="preserve">, </w:t>
      </w:r>
      <w:r w:rsidRPr="00303EF1">
        <w:t>Chapter IV</w:t>
      </w:r>
      <w:r>
        <w:t>,</w:t>
      </w:r>
      <w:r w:rsidRPr="00303EF1">
        <w:t xml:space="preserve"> as comprising “navigational and meteorological warnings, meteorological forecasts and other urgent safety related</w:t>
      </w:r>
      <w:r>
        <w:t xml:space="preserve"> messages broadcast to ships”.</w:t>
      </w:r>
    </w:p>
    <w:p w14:paraId="6D06568E" w14:textId="3FD69F8F" w:rsidR="00B43214" w:rsidRPr="00197B28" w:rsidRDefault="00B43214" w:rsidP="00B43214">
      <w:pPr>
        <w:pStyle w:val="BodyText"/>
      </w:pPr>
      <w:r w:rsidRPr="00B43214">
        <w:t>There are different types of</w:t>
      </w:r>
      <w:r w:rsidR="007B69DC">
        <w:t xml:space="preserve"> MSI</w:t>
      </w:r>
      <w:r w:rsidRPr="00B43214">
        <w:t xml:space="preserve"> provided to vessels: Notices to Mariners and Navigational warnings</w:t>
      </w:r>
      <w:r w:rsidR="007B69DC">
        <w:t>:</w:t>
      </w:r>
    </w:p>
    <w:p w14:paraId="652B346E" w14:textId="77777777" w:rsidR="00B43214" w:rsidRDefault="00B43214" w:rsidP="00636BAE">
      <w:pPr>
        <w:pStyle w:val="BodyText"/>
        <w:numPr>
          <w:ilvl w:val="0"/>
          <w:numId w:val="50"/>
        </w:numPr>
      </w:pPr>
      <w:r w:rsidRPr="00636BAE">
        <w:rPr>
          <w:b/>
        </w:rPr>
        <w:t>Notices to Mariners (NtM)</w:t>
      </w:r>
      <w:r w:rsidRPr="00676E0E">
        <w:t xml:space="preserve"> mainly provide </w:t>
      </w:r>
      <w:r w:rsidRPr="00B43214">
        <w:t>timely (permanent) information</w:t>
      </w:r>
      <w:r w:rsidRPr="00676E0E">
        <w:t xml:space="preserve"> for the correction of navigation </w:t>
      </w:r>
      <w:r w:rsidRPr="00B43214">
        <w:t>charts/publications</w:t>
      </w:r>
      <w:r w:rsidRPr="00676E0E">
        <w:t xml:space="preserve">, and they are </w:t>
      </w:r>
      <w:r w:rsidRPr="00B43214">
        <w:t xml:space="preserve">consulted </w:t>
      </w:r>
      <w:r w:rsidRPr="00197B28">
        <w:t>by the vessel captain/crew</w:t>
      </w:r>
      <w:r>
        <w:t xml:space="preserve"> (normally on a weekly basis).</w:t>
      </w:r>
    </w:p>
    <w:p w14:paraId="45873E5F" w14:textId="6871102B" w:rsidR="00B43214" w:rsidRPr="00636BAE" w:rsidRDefault="00B43214" w:rsidP="00636BAE">
      <w:pPr>
        <w:pStyle w:val="BodyText"/>
        <w:numPr>
          <w:ilvl w:val="0"/>
          <w:numId w:val="50"/>
        </w:numPr>
      </w:pPr>
      <w:r w:rsidRPr="00636BAE">
        <w:rPr>
          <w:b/>
        </w:rPr>
        <w:lastRenderedPageBreak/>
        <w:t>Navigational Warnings</w:t>
      </w:r>
      <w:r w:rsidRPr="00636BAE">
        <w:t>, provide information of temporary nature, which are broadcasted to the Global Maritime Distress and Safety System (GMDSS) equipment onboard the vessels (through satellite services, NAVTEX or other communication means). If these warnings remain in force for several weeks, they may be superseded by NtM.</w:t>
      </w:r>
    </w:p>
    <w:p w14:paraId="70709741" w14:textId="32A18CB4" w:rsidR="00B43214" w:rsidRPr="00F53712" w:rsidRDefault="00F53712" w:rsidP="001606FE">
      <w:pPr>
        <w:pStyle w:val="Table"/>
        <w:autoSpaceDE w:val="0"/>
        <w:autoSpaceDN w:val="0"/>
        <w:adjustRightInd w:val="0"/>
        <w:spacing w:before="60" w:after="60"/>
        <w:rPr>
          <w:color w:val="000000"/>
        </w:rPr>
      </w:pPr>
      <w:r>
        <w:t>NtM and Navigational warnings</w:t>
      </w:r>
    </w:p>
    <w:tbl>
      <w:tblPr>
        <w:tblStyle w:val="TableGrid"/>
        <w:tblW w:w="0" w:type="auto"/>
        <w:jc w:val="center"/>
        <w:tblLook w:val="04A0" w:firstRow="1" w:lastRow="0" w:firstColumn="1" w:lastColumn="0" w:noHBand="0" w:noVBand="1"/>
      </w:tblPr>
      <w:tblGrid>
        <w:gridCol w:w="1417"/>
        <w:gridCol w:w="2445"/>
        <w:gridCol w:w="2445"/>
        <w:gridCol w:w="2446"/>
      </w:tblGrid>
      <w:tr w:rsidR="00B43214" w:rsidRPr="00187E90" w14:paraId="1309A718" w14:textId="77777777" w:rsidTr="00187E90">
        <w:trPr>
          <w:trHeight w:val="526"/>
          <w:jc w:val="center"/>
        </w:trPr>
        <w:tc>
          <w:tcPr>
            <w:tcW w:w="1417" w:type="dxa"/>
          </w:tcPr>
          <w:p w14:paraId="2A67832A" w14:textId="77777777" w:rsidR="00B43214" w:rsidRPr="00187E90" w:rsidRDefault="00B43214" w:rsidP="00834E3E">
            <w:pPr>
              <w:autoSpaceDE w:val="0"/>
              <w:autoSpaceDN w:val="0"/>
              <w:adjustRightInd w:val="0"/>
              <w:spacing w:before="60" w:after="60"/>
              <w:jc w:val="center"/>
              <w:rPr>
                <w:rFonts w:asciiTheme="minorHAnsi" w:hAnsiTheme="minorHAnsi" w:cstheme="minorHAnsi"/>
                <w:b/>
                <w:color w:val="000000"/>
              </w:rPr>
            </w:pPr>
          </w:p>
        </w:tc>
        <w:tc>
          <w:tcPr>
            <w:tcW w:w="2445" w:type="dxa"/>
          </w:tcPr>
          <w:p w14:paraId="601FA11F" w14:textId="77777777" w:rsidR="00B43214" w:rsidRPr="00187E90" w:rsidRDefault="00B43214" w:rsidP="00834E3E">
            <w:pPr>
              <w:autoSpaceDE w:val="0"/>
              <w:autoSpaceDN w:val="0"/>
              <w:adjustRightInd w:val="0"/>
              <w:spacing w:before="60" w:after="60"/>
              <w:jc w:val="center"/>
              <w:rPr>
                <w:rFonts w:asciiTheme="minorHAnsi" w:hAnsiTheme="minorHAnsi" w:cstheme="minorHAnsi"/>
                <w:b/>
                <w:color w:val="000000"/>
              </w:rPr>
            </w:pPr>
            <w:r w:rsidRPr="00187E90">
              <w:rPr>
                <w:rFonts w:asciiTheme="minorHAnsi" w:hAnsiTheme="minorHAnsi" w:cstheme="minorHAnsi"/>
                <w:b/>
                <w:color w:val="000000"/>
              </w:rPr>
              <w:t>Temporality</w:t>
            </w:r>
          </w:p>
        </w:tc>
        <w:tc>
          <w:tcPr>
            <w:tcW w:w="2445" w:type="dxa"/>
          </w:tcPr>
          <w:p w14:paraId="38750B50" w14:textId="77777777" w:rsidR="00B43214" w:rsidRPr="00187E90" w:rsidRDefault="00B43214" w:rsidP="00834E3E">
            <w:pPr>
              <w:autoSpaceDE w:val="0"/>
              <w:autoSpaceDN w:val="0"/>
              <w:adjustRightInd w:val="0"/>
              <w:spacing w:before="60" w:after="60"/>
              <w:jc w:val="center"/>
              <w:rPr>
                <w:rFonts w:asciiTheme="minorHAnsi" w:hAnsiTheme="minorHAnsi" w:cstheme="minorHAnsi"/>
                <w:b/>
                <w:color w:val="000000"/>
              </w:rPr>
            </w:pPr>
            <w:r w:rsidRPr="00187E90">
              <w:rPr>
                <w:rFonts w:asciiTheme="minorHAnsi" w:hAnsiTheme="minorHAnsi" w:cstheme="minorHAnsi"/>
                <w:b/>
                <w:color w:val="000000"/>
              </w:rPr>
              <w:t>Consulted/ broadcasted</w:t>
            </w:r>
          </w:p>
        </w:tc>
        <w:tc>
          <w:tcPr>
            <w:tcW w:w="2446" w:type="dxa"/>
          </w:tcPr>
          <w:p w14:paraId="7D3FC8DC" w14:textId="77777777" w:rsidR="00B43214" w:rsidRPr="00187E90" w:rsidRDefault="00B43214" w:rsidP="00834E3E">
            <w:pPr>
              <w:autoSpaceDE w:val="0"/>
              <w:autoSpaceDN w:val="0"/>
              <w:adjustRightInd w:val="0"/>
              <w:spacing w:before="60" w:after="60"/>
              <w:jc w:val="center"/>
              <w:rPr>
                <w:rFonts w:asciiTheme="minorHAnsi" w:hAnsiTheme="minorHAnsi" w:cstheme="minorHAnsi"/>
                <w:b/>
                <w:color w:val="000000"/>
              </w:rPr>
            </w:pPr>
            <w:r w:rsidRPr="00187E90">
              <w:rPr>
                <w:rFonts w:asciiTheme="minorHAnsi" w:hAnsiTheme="minorHAnsi" w:cstheme="minorHAnsi"/>
                <w:b/>
                <w:color w:val="000000"/>
              </w:rPr>
              <w:t>Transmission means</w:t>
            </w:r>
          </w:p>
        </w:tc>
      </w:tr>
      <w:tr w:rsidR="00B43214" w:rsidRPr="00187E90" w14:paraId="47A01A24" w14:textId="77777777" w:rsidTr="00187E90">
        <w:trPr>
          <w:trHeight w:val="874"/>
          <w:jc w:val="center"/>
        </w:trPr>
        <w:tc>
          <w:tcPr>
            <w:tcW w:w="1417" w:type="dxa"/>
          </w:tcPr>
          <w:p w14:paraId="745C1144" w14:textId="77777777" w:rsidR="00B43214" w:rsidRPr="00187E90" w:rsidRDefault="00B43214" w:rsidP="00834E3E">
            <w:pPr>
              <w:autoSpaceDE w:val="0"/>
              <w:autoSpaceDN w:val="0"/>
              <w:adjustRightInd w:val="0"/>
              <w:spacing w:before="60" w:after="60"/>
              <w:rPr>
                <w:rFonts w:asciiTheme="minorHAnsi" w:hAnsiTheme="minorHAnsi" w:cstheme="minorHAnsi"/>
                <w:b/>
                <w:color w:val="000000"/>
              </w:rPr>
            </w:pPr>
            <w:r w:rsidRPr="00187E90">
              <w:rPr>
                <w:rFonts w:asciiTheme="minorHAnsi" w:hAnsiTheme="minorHAnsi" w:cstheme="minorHAnsi"/>
                <w:b/>
                <w:color w:val="000000"/>
              </w:rPr>
              <w:t>Notices to Mariners</w:t>
            </w:r>
          </w:p>
        </w:tc>
        <w:tc>
          <w:tcPr>
            <w:tcW w:w="2445" w:type="dxa"/>
          </w:tcPr>
          <w:p w14:paraId="0B0F5DD6" w14:textId="77777777" w:rsidR="00B43214" w:rsidRPr="00187E90" w:rsidRDefault="00B43214" w:rsidP="00834E3E">
            <w:pPr>
              <w:autoSpaceDE w:val="0"/>
              <w:autoSpaceDN w:val="0"/>
              <w:adjustRightInd w:val="0"/>
              <w:contextualSpacing/>
              <w:rPr>
                <w:rFonts w:asciiTheme="minorHAnsi" w:hAnsiTheme="minorHAnsi" w:cstheme="minorHAnsi"/>
              </w:rPr>
            </w:pPr>
            <w:r w:rsidRPr="00187E90">
              <w:rPr>
                <w:rFonts w:asciiTheme="minorHAnsi" w:hAnsiTheme="minorHAnsi" w:cstheme="minorHAnsi"/>
                <w:b/>
              </w:rPr>
              <w:t>timely (permanent) information</w:t>
            </w:r>
            <w:r w:rsidRPr="00187E90">
              <w:rPr>
                <w:rFonts w:asciiTheme="minorHAnsi" w:hAnsiTheme="minorHAnsi" w:cstheme="minorHAnsi"/>
              </w:rPr>
              <w:t xml:space="preserve"> – </w:t>
            </w:r>
          </w:p>
          <w:p w14:paraId="678F7F3B" w14:textId="77777777" w:rsidR="00B43214" w:rsidRPr="00187E90" w:rsidRDefault="00B43214" w:rsidP="00834E3E">
            <w:pPr>
              <w:autoSpaceDE w:val="0"/>
              <w:autoSpaceDN w:val="0"/>
              <w:adjustRightInd w:val="0"/>
              <w:contextualSpacing/>
              <w:rPr>
                <w:rFonts w:asciiTheme="minorHAnsi" w:hAnsiTheme="minorHAnsi" w:cstheme="minorHAnsi"/>
                <w:color w:val="000000"/>
              </w:rPr>
            </w:pPr>
            <w:r w:rsidRPr="00187E90">
              <w:rPr>
                <w:rFonts w:asciiTheme="minorHAnsi" w:hAnsiTheme="minorHAnsi" w:cstheme="minorHAnsi"/>
              </w:rPr>
              <w:t>mainly related to charts/publications</w:t>
            </w:r>
          </w:p>
        </w:tc>
        <w:tc>
          <w:tcPr>
            <w:tcW w:w="2445" w:type="dxa"/>
          </w:tcPr>
          <w:p w14:paraId="0710E5E2" w14:textId="77777777" w:rsidR="00B43214" w:rsidRPr="00187E90" w:rsidRDefault="00B43214" w:rsidP="00834E3E">
            <w:pPr>
              <w:autoSpaceDE w:val="0"/>
              <w:autoSpaceDN w:val="0"/>
              <w:adjustRightInd w:val="0"/>
              <w:spacing w:before="60" w:after="60"/>
              <w:rPr>
                <w:rFonts w:asciiTheme="minorHAnsi" w:hAnsiTheme="minorHAnsi" w:cstheme="minorHAnsi"/>
                <w:color w:val="000000"/>
              </w:rPr>
            </w:pPr>
            <w:r w:rsidRPr="00187E90">
              <w:rPr>
                <w:rFonts w:asciiTheme="minorHAnsi" w:hAnsiTheme="minorHAnsi" w:cstheme="minorHAnsi"/>
                <w:color w:val="000000"/>
              </w:rPr>
              <w:t>Information is requested/consulted by the vessel crew</w:t>
            </w:r>
          </w:p>
        </w:tc>
        <w:tc>
          <w:tcPr>
            <w:tcW w:w="2446" w:type="dxa"/>
          </w:tcPr>
          <w:p w14:paraId="2E4FD4B6" w14:textId="77777777" w:rsidR="00B43214" w:rsidRPr="00187E90" w:rsidRDefault="00B43214" w:rsidP="00834E3E">
            <w:pPr>
              <w:autoSpaceDE w:val="0"/>
              <w:autoSpaceDN w:val="0"/>
              <w:adjustRightInd w:val="0"/>
              <w:spacing w:before="60" w:after="60"/>
              <w:rPr>
                <w:rFonts w:asciiTheme="minorHAnsi" w:hAnsiTheme="minorHAnsi" w:cstheme="minorHAnsi"/>
                <w:color w:val="000000"/>
              </w:rPr>
            </w:pPr>
            <w:r w:rsidRPr="00187E90">
              <w:rPr>
                <w:rFonts w:asciiTheme="minorHAnsi" w:hAnsiTheme="minorHAnsi" w:cstheme="minorHAnsi"/>
                <w:color w:val="000000"/>
              </w:rPr>
              <w:t>Through mail, official web sites or paper means</w:t>
            </w:r>
          </w:p>
        </w:tc>
      </w:tr>
      <w:tr w:rsidR="00B43214" w:rsidRPr="00187E90" w14:paraId="249EB0D5" w14:textId="77777777" w:rsidTr="00187E90">
        <w:trPr>
          <w:trHeight w:val="1038"/>
          <w:jc w:val="center"/>
        </w:trPr>
        <w:tc>
          <w:tcPr>
            <w:tcW w:w="1417" w:type="dxa"/>
          </w:tcPr>
          <w:p w14:paraId="6417B09E" w14:textId="77777777" w:rsidR="00B43214" w:rsidRPr="00187E90" w:rsidRDefault="00B43214" w:rsidP="00834E3E">
            <w:pPr>
              <w:autoSpaceDE w:val="0"/>
              <w:autoSpaceDN w:val="0"/>
              <w:adjustRightInd w:val="0"/>
              <w:spacing w:before="60" w:after="60"/>
              <w:rPr>
                <w:rFonts w:asciiTheme="minorHAnsi" w:hAnsiTheme="minorHAnsi" w:cstheme="minorHAnsi"/>
                <w:b/>
                <w:color w:val="000000"/>
              </w:rPr>
            </w:pPr>
            <w:r w:rsidRPr="00187E90">
              <w:rPr>
                <w:rFonts w:asciiTheme="minorHAnsi" w:hAnsiTheme="minorHAnsi" w:cstheme="minorHAnsi"/>
                <w:b/>
                <w:color w:val="000000"/>
              </w:rPr>
              <w:t>Navigational warnings</w:t>
            </w:r>
          </w:p>
        </w:tc>
        <w:tc>
          <w:tcPr>
            <w:tcW w:w="2445" w:type="dxa"/>
          </w:tcPr>
          <w:p w14:paraId="7BDF798F" w14:textId="77777777" w:rsidR="00B43214" w:rsidRPr="00187E90" w:rsidRDefault="00B43214" w:rsidP="00834E3E">
            <w:pPr>
              <w:autoSpaceDE w:val="0"/>
              <w:autoSpaceDN w:val="0"/>
              <w:adjustRightInd w:val="0"/>
              <w:contextualSpacing/>
              <w:rPr>
                <w:rFonts w:asciiTheme="minorHAnsi" w:hAnsiTheme="minorHAnsi" w:cstheme="minorHAnsi"/>
              </w:rPr>
            </w:pPr>
            <w:r w:rsidRPr="00187E90">
              <w:rPr>
                <w:rFonts w:asciiTheme="minorHAnsi" w:hAnsiTheme="minorHAnsi" w:cstheme="minorHAnsi"/>
                <w:b/>
              </w:rPr>
              <w:t>temporary</w:t>
            </w:r>
            <w:r w:rsidRPr="00187E90">
              <w:rPr>
                <w:rFonts w:asciiTheme="minorHAnsi" w:hAnsiTheme="minorHAnsi" w:cstheme="minorHAnsi"/>
              </w:rPr>
              <w:t xml:space="preserve"> information</w:t>
            </w:r>
          </w:p>
          <w:p w14:paraId="47474CD3" w14:textId="77777777" w:rsidR="00B43214" w:rsidRPr="00187E90" w:rsidRDefault="00B43214" w:rsidP="00834E3E">
            <w:pPr>
              <w:autoSpaceDE w:val="0"/>
              <w:autoSpaceDN w:val="0"/>
              <w:adjustRightInd w:val="0"/>
              <w:contextualSpacing/>
              <w:rPr>
                <w:rFonts w:asciiTheme="minorHAnsi" w:hAnsiTheme="minorHAnsi" w:cstheme="minorHAnsi"/>
                <w:color w:val="000000"/>
              </w:rPr>
            </w:pPr>
            <w:r w:rsidRPr="00187E90">
              <w:rPr>
                <w:rFonts w:asciiTheme="minorHAnsi" w:hAnsiTheme="minorHAnsi" w:cstheme="minorHAnsi"/>
              </w:rPr>
              <w:t>(superseded by NtM if they remain in force for several weeks)</w:t>
            </w:r>
          </w:p>
        </w:tc>
        <w:tc>
          <w:tcPr>
            <w:tcW w:w="2445" w:type="dxa"/>
          </w:tcPr>
          <w:p w14:paraId="155B0775" w14:textId="77777777" w:rsidR="00B43214" w:rsidRPr="00187E90" w:rsidRDefault="00B43214" w:rsidP="00834E3E">
            <w:pPr>
              <w:autoSpaceDE w:val="0"/>
              <w:autoSpaceDN w:val="0"/>
              <w:adjustRightInd w:val="0"/>
              <w:spacing w:before="60" w:after="60"/>
              <w:rPr>
                <w:rFonts w:asciiTheme="minorHAnsi" w:hAnsiTheme="minorHAnsi" w:cstheme="minorHAnsi"/>
                <w:color w:val="000000"/>
              </w:rPr>
            </w:pPr>
            <w:r w:rsidRPr="00187E90">
              <w:rPr>
                <w:rFonts w:asciiTheme="minorHAnsi" w:hAnsiTheme="minorHAnsi" w:cstheme="minorHAnsi"/>
                <w:color w:val="000000"/>
              </w:rPr>
              <w:t xml:space="preserve">Information is broadcasted to the GMDSS </w:t>
            </w:r>
            <w:r w:rsidRPr="00187E90">
              <w:rPr>
                <w:rFonts w:asciiTheme="minorHAnsi" w:hAnsiTheme="minorHAnsi" w:cstheme="minorHAnsi"/>
              </w:rPr>
              <w:t>equipment onboard the vessels</w:t>
            </w:r>
          </w:p>
        </w:tc>
        <w:tc>
          <w:tcPr>
            <w:tcW w:w="2446" w:type="dxa"/>
          </w:tcPr>
          <w:p w14:paraId="6039CDF2" w14:textId="77777777" w:rsidR="00B43214" w:rsidRPr="00187E90" w:rsidRDefault="00B43214" w:rsidP="00834E3E">
            <w:pPr>
              <w:autoSpaceDE w:val="0"/>
              <w:autoSpaceDN w:val="0"/>
              <w:adjustRightInd w:val="0"/>
              <w:spacing w:before="60" w:after="60"/>
              <w:rPr>
                <w:rFonts w:asciiTheme="minorHAnsi" w:hAnsiTheme="minorHAnsi" w:cstheme="minorHAnsi"/>
                <w:color w:val="000000"/>
              </w:rPr>
            </w:pPr>
            <w:r w:rsidRPr="00187E90">
              <w:rPr>
                <w:rFonts w:asciiTheme="minorHAnsi" w:hAnsiTheme="minorHAnsi" w:cstheme="minorHAnsi"/>
                <w:color w:val="000000"/>
              </w:rPr>
              <w:t>Transmitted through satellite services (e.g: SafetyNet), NAVTEX or other means (VHF, voice,…)</w:t>
            </w:r>
          </w:p>
        </w:tc>
      </w:tr>
    </w:tbl>
    <w:p w14:paraId="525C595C" w14:textId="77777777" w:rsidR="00B43214" w:rsidRPr="00B43214" w:rsidRDefault="00B43214" w:rsidP="00F53712">
      <w:pPr>
        <w:pStyle w:val="BodyText"/>
        <w:spacing w:before="120"/>
      </w:pPr>
      <w:r w:rsidRPr="00B43214">
        <w:t xml:space="preserve">Given the differences presented above, and considering the temporary and immediate nature of the information on Galileo performance degradations to be provided to mariners, this information should be provided to the vessels through </w:t>
      </w:r>
      <w:r w:rsidRPr="00B43214">
        <w:rPr>
          <w:b/>
        </w:rPr>
        <w:t>Navigational Warnings</w:t>
      </w:r>
      <w:r w:rsidRPr="00B43214">
        <w:t xml:space="preserve">. </w:t>
      </w:r>
    </w:p>
    <w:p w14:paraId="38AF991F" w14:textId="5BE37DE4" w:rsidR="00B43214" w:rsidRDefault="00B43214" w:rsidP="00187E90">
      <w:pPr>
        <w:pStyle w:val="BodyText"/>
      </w:pPr>
      <w:r w:rsidRPr="00865302">
        <w:t>The maritime safety information (MSI</w:t>
      </w:r>
      <w:r>
        <w:t xml:space="preserve">) is part of the </w:t>
      </w:r>
      <w:r w:rsidRPr="00865302">
        <w:t>World Wide Navigational Warning Service</w:t>
      </w:r>
      <w:r>
        <w:t xml:space="preserve"> (</w:t>
      </w:r>
      <w:r w:rsidRPr="00865302">
        <w:t>WWNWS</w:t>
      </w:r>
      <w:r>
        <w:t xml:space="preserve">). The </w:t>
      </w:r>
      <w:r w:rsidRPr="00865302">
        <w:t>WWNWS</w:t>
      </w:r>
      <w:r>
        <w:t xml:space="preserve"> </w:t>
      </w:r>
      <w:r w:rsidRPr="00865302">
        <w:t>is a co-ordinated global service for the promulgation of navigational warnings from official information providers</w:t>
      </w:r>
      <w:r w:rsidR="00187E90">
        <w:t xml:space="preserve">. </w:t>
      </w:r>
      <w:r>
        <w:t xml:space="preserve">Under the </w:t>
      </w:r>
      <w:r w:rsidRPr="00C82459">
        <w:t>WWNWS</w:t>
      </w:r>
      <w:r>
        <w:t xml:space="preserve"> </w:t>
      </w:r>
      <w:r w:rsidRPr="00C82459">
        <w:t>the world's oceans are divided into 21</w:t>
      </w:r>
      <w:r>
        <w:t xml:space="preserve"> geographical sea areas, called </w:t>
      </w:r>
      <w:r w:rsidRPr="00C82459">
        <w:t xml:space="preserve">NAVAREAs (NAVigational AREAs) which are identified </w:t>
      </w:r>
      <w:r>
        <w:t>by Roman numbers:</w:t>
      </w:r>
    </w:p>
    <w:p w14:paraId="41618B0A" w14:textId="7DF8D2FC" w:rsidR="00F53712" w:rsidRPr="00C82459" w:rsidRDefault="00F53712" w:rsidP="00483D01">
      <w:pPr>
        <w:pStyle w:val="Figure"/>
        <w:rPr>
          <w:szCs w:val="22"/>
        </w:rPr>
      </w:pPr>
      <w:bookmarkStart w:id="1" w:name="_Ref40046851"/>
      <w:bookmarkStart w:id="2" w:name="_Toc40452521"/>
      <w:r>
        <w:t>Figure</w:t>
      </w:r>
      <w:r w:rsidRPr="00430D86">
        <w:t xml:space="preserve"> </w:t>
      </w:r>
      <w:r w:rsidRPr="00430D86">
        <w:fldChar w:fldCharType="begin"/>
      </w:r>
      <w:r w:rsidRPr="00430D86">
        <w:instrText xml:space="preserve"> SEQ </w:instrText>
      </w:r>
      <w:r>
        <w:instrText>Figure</w:instrText>
      </w:r>
      <w:r w:rsidRPr="00430D86">
        <w:instrText xml:space="preserve"> \* ARABIC </w:instrText>
      </w:r>
      <w:r w:rsidRPr="00430D86">
        <w:fldChar w:fldCharType="separate"/>
      </w:r>
      <w:r>
        <w:rPr>
          <w:noProof/>
        </w:rPr>
        <w:t>3</w:t>
      </w:r>
      <w:r w:rsidRPr="00430D86">
        <w:fldChar w:fldCharType="end"/>
      </w:r>
      <w:bookmarkEnd w:id="1"/>
      <w:r w:rsidRPr="00430D86">
        <w:t>.</w:t>
      </w:r>
      <w:r>
        <w:t xml:space="preserve"> NAVAREAS and Sub-Areas</w:t>
      </w:r>
      <w:bookmarkEnd w:id="2"/>
    </w:p>
    <w:p w14:paraId="43921F0A" w14:textId="77777777" w:rsidR="00B43214" w:rsidRDefault="00B43214" w:rsidP="00B43214">
      <w:pPr>
        <w:jc w:val="center"/>
      </w:pPr>
      <w:r>
        <w:rPr>
          <w:noProof/>
          <w:lang w:val="es-ES" w:eastAsia="es-ES"/>
        </w:rPr>
        <w:drawing>
          <wp:inline distT="0" distB="0" distL="0" distR="0" wp14:anchorId="22DD7E80" wp14:editId="7E52295F">
            <wp:extent cx="4277467" cy="3390900"/>
            <wp:effectExtent l="0" t="0" r="8890" b="0"/>
            <wp:docPr id="2" name="Imagen 2" descr="Navigation Warnings on the Web | I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vigation Warnings on the Web | IH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0780" cy="3393526"/>
                    </a:xfrm>
                    <a:prstGeom prst="rect">
                      <a:avLst/>
                    </a:prstGeom>
                    <a:noFill/>
                    <a:ln>
                      <a:noFill/>
                    </a:ln>
                  </pic:spPr>
                </pic:pic>
              </a:graphicData>
            </a:graphic>
          </wp:inline>
        </w:drawing>
      </w:r>
    </w:p>
    <w:p w14:paraId="21EBEB54" w14:textId="502DD47E" w:rsidR="00B43214" w:rsidRDefault="00B43214" w:rsidP="00F53712">
      <w:pPr>
        <w:pStyle w:val="BodyText"/>
        <w:spacing w:before="120"/>
      </w:pPr>
      <w:r w:rsidRPr="00190066">
        <w:t xml:space="preserve">The </w:t>
      </w:r>
      <w:r>
        <w:t>body</w:t>
      </w:r>
      <w:r w:rsidRPr="00190066">
        <w:t xml:space="preserve"> tasked with gathering and distributing</w:t>
      </w:r>
      <w:r>
        <w:t xml:space="preserve"> </w:t>
      </w:r>
      <w:hyperlink r:id="rId12" w:tooltip="Glossary: MSI" w:history="1">
        <w:r w:rsidRPr="00190066">
          <w:t>MSI</w:t>
        </w:r>
      </w:hyperlink>
      <w:r>
        <w:t xml:space="preserve"> </w:t>
      </w:r>
      <w:r w:rsidRPr="00190066">
        <w:t>to cover the whole of a</w:t>
      </w:r>
      <w:r>
        <w:t xml:space="preserve"> </w:t>
      </w:r>
      <w:r w:rsidRPr="00190066">
        <w:t>NAVAREA</w:t>
      </w:r>
      <w:r>
        <w:t xml:space="preserve"> </w:t>
      </w:r>
      <w:r w:rsidRPr="00190066">
        <w:t>is known as the</w:t>
      </w:r>
      <w:r>
        <w:t xml:space="preserve"> </w:t>
      </w:r>
      <w:r w:rsidRPr="00190066">
        <w:t>NAVAREA</w:t>
      </w:r>
      <w:r>
        <w:t xml:space="preserve"> </w:t>
      </w:r>
      <w:r w:rsidRPr="00190066">
        <w:t>coordinator.</w:t>
      </w:r>
      <w:r>
        <w:t xml:space="preserve"> </w:t>
      </w:r>
    </w:p>
    <w:p w14:paraId="5F80D54B" w14:textId="41069829" w:rsidR="00B43214" w:rsidRDefault="00B43214" w:rsidP="00D35F15">
      <w:pPr>
        <w:pStyle w:val="BodyText"/>
        <w:spacing w:before="120"/>
      </w:pPr>
      <w:r>
        <w:t xml:space="preserve">The WWNWS comprises 3 </w:t>
      </w:r>
      <w:r w:rsidR="00D35F15">
        <w:t>levels of Navigational Warnings</w:t>
      </w:r>
      <w:r>
        <w:t>:</w:t>
      </w:r>
    </w:p>
    <w:p w14:paraId="6FE7AD15" w14:textId="4234D35E" w:rsidR="00D35F15" w:rsidRPr="00430D86" w:rsidRDefault="00D35F15" w:rsidP="00D35F15">
      <w:pPr>
        <w:pStyle w:val="Table"/>
      </w:pPr>
      <w:bookmarkStart w:id="3" w:name="_Toc40452529"/>
      <w:r>
        <w:t>Types of Navigational warnings</w:t>
      </w:r>
      <w:bookmarkEnd w:id="3"/>
    </w:p>
    <w:tbl>
      <w:tblPr>
        <w:tblStyle w:val="TableGrid"/>
        <w:tblW w:w="0" w:type="auto"/>
        <w:jc w:val="center"/>
        <w:tblLook w:val="04A0" w:firstRow="1" w:lastRow="0" w:firstColumn="1" w:lastColumn="0" w:noHBand="0" w:noVBand="1"/>
      </w:tblPr>
      <w:tblGrid>
        <w:gridCol w:w="1877"/>
        <w:gridCol w:w="2083"/>
        <w:gridCol w:w="2556"/>
        <w:gridCol w:w="2516"/>
      </w:tblGrid>
      <w:tr w:rsidR="00B43214" w:rsidRPr="00D35F15" w14:paraId="58283E7B" w14:textId="77777777" w:rsidTr="00636BAE">
        <w:trPr>
          <w:trHeight w:val="526"/>
          <w:jc w:val="center"/>
        </w:trPr>
        <w:tc>
          <w:tcPr>
            <w:tcW w:w="1877" w:type="dxa"/>
          </w:tcPr>
          <w:p w14:paraId="16F0B549" w14:textId="77777777" w:rsidR="00B43214" w:rsidRPr="00B772D8" w:rsidRDefault="00B43214" w:rsidP="00834E3E">
            <w:pPr>
              <w:pStyle w:val="ListParagraph"/>
              <w:autoSpaceDE w:val="0"/>
              <w:autoSpaceDN w:val="0"/>
              <w:adjustRightInd w:val="0"/>
              <w:spacing w:before="60" w:after="60"/>
              <w:rPr>
                <w:rFonts w:asciiTheme="minorHAnsi" w:hAnsiTheme="minorHAnsi" w:cstheme="minorHAnsi"/>
                <w:b/>
                <w:color w:val="000000"/>
              </w:rPr>
            </w:pPr>
          </w:p>
        </w:tc>
        <w:tc>
          <w:tcPr>
            <w:tcW w:w="2083" w:type="dxa"/>
          </w:tcPr>
          <w:p w14:paraId="2B677D59" w14:textId="77777777" w:rsidR="00B43214" w:rsidRPr="00B772D8" w:rsidRDefault="00B43214" w:rsidP="00834E3E">
            <w:pPr>
              <w:autoSpaceDE w:val="0"/>
              <w:autoSpaceDN w:val="0"/>
              <w:adjustRightInd w:val="0"/>
              <w:spacing w:before="60" w:after="60"/>
              <w:jc w:val="center"/>
              <w:rPr>
                <w:rFonts w:asciiTheme="minorHAnsi" w:hAnsiTheme="minorHAnsi" w:cstheme="minorHAnsi"/>
                <w:b/>
                <w:color w:val="000000"/>
              </w:rPr>
            </w:pPr>
            <w:r w:rsidRPr="00B772D8">
              <w:rPr>
                <w:rFonts w:asciiTheme="minorHAnsi" w:hAnsiTheme="minorHAnsi" w:cstheme="minorHAnsi"/>
                <w:b/>
                <w:color w:val="000000"/>
              </w:rPr>
              <w:t>Coordinator</w:t>
            </w:r>
          </w:p>
        </w:tc>
        <w:tc>
          <w:tcPr>
            <w:tcW w:w="2556" w:type="dxa"/>
          </w:tcPr>
          <w:p w14:paraId="3C409247" w14:textId="77777777" w:rsidR="00B43214" w:rsidRPr="00B772D8" w:rsidRDefault="00B43214" w:rsidP="00834E3E">
            <w:pPr>
              <w:autoSpaceDE w:val="0"/>
              <w:autoSpaceDN w:val="0"/>
              <w:adjustRightInd w:val="0"/>
              <w:spacing w:before="60" w:after="60"/>
              <w:jc w:val="center"/>
              <w:rPr>
                <w:rFonts w:asciiTheme="minorHAnsi" w:hAnsiTheme="minorHAnsi" w:cstheme="minorHAnsi"/>
                <w:b/>
                <w:color w:val="000000"/>
              </w:rPr>
            </w:pPr>
            <w:r w:rsidRPr="00B772D8">
              <w:rPr>
                <w:rFonts w:asciiTheme="minorHAnsi" w:hAnsiTheme="minorHAnsi" w:cstheme="minorHAnsi"/>
                <w:b/>
                <w:color w:val="000000"/>
              </w:rPr>
              <w:t>Transmission means</w:t>
            </w:r>
          </w:p>
        </w:tc>
        <w:tc>
          <w:tcPr>
            <w:tcW w:w="2516" w:type="dxa"/>
          </w:tcPr>
          <w:p w14:paraId="14388A8F" w14:textId="77777777" w:rsidR="00B43214" w:rsidRPr="00B772D8" w:rsidRDefault="00B43214" w:rsidP="00834E3E">
            <w:pPr>
              <w:autoSpaceDE w:val="0"/>
              <w:autoSpaceDN w:val="0"/>
              <w:adjustRightInd w:val="0"/>
              <w:spacing w:before="60" w:after="60"/>
              <w:jc w:val="center"/>
              <w:rPr>
                <w:rFonts w:asciiTheme="minorHAnsi" w:hAnsiTheme="minorHAnsi" w:cstheme="minorHAnsi"/>
                <w:b/>
                <w:color w:val="000000"/>
              </w:rPr>
            </w:pPr>
            <w:r w:rsidRPr="00B772D8">
              <w:rPr>
                <w:rFonts w:asciiTheme="minorHAnsi" w:hAnsiTheme="minorHAnsi" w:cstheme="minorHAnsi"/>
                <w:b/>
                <w:color w:val="000000"/>
              </w:rPr>
              <w:t>Alternative transmission means</w:t>
            </w:r>
          </w:p>
        </w:tc>
      </w:tr>
      <w:tr w:rsidR="00B43214" w:rsidRPr="00D35F15" w14:paraId="62DF2D17" w14:textId="77777777" w:rsidTr="00636BAE">
        <w:trPr>
          <w:trHeight w:val="874"/>
          <w:jc w:val="center"/>
        </w:trPr>
        <w:tc>
          <w:tcPr>
            <w:tcW w:w="1877" w:type="dxa"/>
          </w:tcPr>
          <w:p w14:paraId="1AF1C6CF" w14:textId="77777777" w:rsidR="00B43214" w:rsidRPr="00B772D8" w:rsidRDefault="00B43214" w:rsidP="00834E3E">
            <w:pPr>
              <w:autoSpaceDE w:val="0"/>
              <w:autoSpaceDN w:val="0"/>
              <w:adjustRightInd w:val="0"/>
              <w:spacing w:before="60" w:after="60" w:line="276" w:lineRule="auto"/>
              <w:rPr>
                <w:rFonts w:asciiTheme="minorHAnsi" w:hAnsiTheme="minorHAnsi" w:cstheme="minorHAnsi"/>
                <w:b/>
                <w:color w:val="000000"/>
              </w:rPr>
            </w:pPr>
            <w:r w:rsidRPr="00B772D8">
              <w:rPr>
                <w:rFonts w:asciiTheme="minorHAnsi" w:hAnsiTheme="minorHAnsi" w:cstheme="minorHAnsi"/>
                <w:b/>
                <w:color w:val="000000"/>
              </w:rPr>
              <w:t>NAVAREA/ Sub-Area warning</w:t>
            </w:r>
          </w:p>
        </w:tc>
        <w:tc>
          <w:tcPr>
            <w:tcW w:w="2083" w:type="dxa"/>
          </w:tcPr>
          <w:p w14:paraId="4864A9AC" w14:textId="77777777" w:rsidR="00B43214" w:rsidRPr="00B772D8" w:rsidRDefault="00B43214" w:rsidP="00834E3E">
            <w:pPr>
              <w:autoSpaceDE w:val="0"/>
              <w:autoSpaceDN w:val="0"/>
              <w:adjustRightInd w:val="0"/>
              <w:spacing w:before="60" w:after="60"/>
              <w:jc w:val="center"/>
              <w:rPr>
                <w:rFonts w:asciiTheme="minorHAnsi" w:hAnsiTheme="minorHAnsi" w:cstheme="minorHAnsi"/>
                <w:color w:val="000000"/>
              </w:rPr>
            </w:pPr>
            <w:r w:rsidRPr="00B772D8">
              <w:rPr>
                <w:rFonts w:asciiTheme="minorHAnsi" w:hAnsiTheme="minorHAnsi" w:cstheme="minorHAnsi"/>
                <w:color w:val="000000"/>
              </w:rPr>
              <w:t>NAVAREA Coordinator</w:t>
            </w:r>
          </w:p>
        </w:tc>
        <w:tc>
          <w:tcPr>
            <w:tcW w:w="2556" w:type="dxa"/>
          </w:tcPr>
          <w:p w14:paraId="58CE0758" w14:textId="77777777" w:rsidR="00B43214" w:rsidRPr="00B772D8" w:rsidRDefault="00B43214" w:rsidP="00834E3E">
            <w:pPr>
              <w:autoSpaceDE w:val="0"/>
              <w:autoSpaceDN w:val="0"/>
              <w:adjustRightInd w:val="0"/>
              <w:spacing w:before="60" w:after="60"/>
              <w:rPr>
                <w:rFonts w:asciiTheme="minorHAnsi" w:hAnsiTheme="minorHAnsi" w:cstheme="minorHAnsi"/>
                <w:color w:val="000000"/>
              </w:rPr>
            </w:pPr>
            <w:r w:rsidRPr="00B772D8">
              <w:rPr>
                <w:rFonts w:asciiTheme="minorHAnsi" w:hAnsiTheme="minorHAnsi" w:cstheme="minorHAnsi"/>
                <w:color w:val="000000"/>
              </w:rPr>
              <w:t>Satellite Services (e.g: SafetyNet)</w:t>
            </w:r>
          </w:p>
        </w:tc>
        <w:tc>
          <w:tcPr>
            <w:tcW w:w="2516" w:type="dxa"/>
          </w:tcPr>
          <w:p w14:paraId="72FCAF54" w14:textId="77777777" w:rsidR="00B43214" w:rsidRPr="00B772D8" w:rsidRDefault="00B43214" w:rsidP="00834E3E">
            <w:pPr>
              <w:autoSpaceDE w:val="0"/>
              <w:autoSpaceDN w:val="0"/>
              <w:adjustRightInd w:val="0"/>
              <w:spacing w:before="60" w:after="60"/>
              <w:rPr>
                <w:rFonts w:asciiTheme="minorHAnsi" w:hAnsiTheme="minorHAnsi" w:cstheme="minorHAnsi"/>
                <w:color w:val="000000"/>
              </w:rPr>
            </w:pPr>
            <w:r w:rsidRPr="00B772D8">
              <w:rPr>
                <w:rFonts w:asciiTheme="minorHAnsi" w:hAnsiTheme="minorHAnsi" w:cstheme="minorHAnsi"/>
                <w:color w:val="000000"/>
              </w:rPr>
              <w:t>High frequency (HF) Narrow-Band Direct Printing (NBDP)</w:t>
            </w:r>
          </w:p>
        </w:tc>
      </w:tr>
      <w:tr w:rsidR="00B43214" w:rsidRPr="00D35F15" w14:paraId="15A27724" w14:textId="77777777" w:rsidTr="00636BAE">
        <w:trPr>
          <w:trHeight w:val="755"/>
          <w:jc w:val="center"/>
        </w:trPr>
        <w:tc>
          <w:tcPr>
            <w:tcW w:w="1877" w:type="dxa"/>
          </w:tcPr>
          <w:p w14:paraId="26D1A3B3" w14:textId="77777777" w:rsidR="00B43214" w:rsidRPr="00B772D8" w:rsidRDefault="00B43214" w:rsidP="00834E3E">
            <w:pPr>
              <w:autoSpaceDE w:val="0"/>
              <w:autoSpaceDN w:val="0"/>
              <w:adjustRightInd w:val="0"/>
              <w:spacing w:before="60" w:after="60"/>
              <w:rPr>
                <w:rFonts w:asciiTheme="minorHAnsi" w:hAnsiTheme="minorHAnsi" w:cstheme="minorHAnsi"/>
                <w:b/>
                <w:color w:val="000000"/>
              </w:rPr>
            </w:pPr>
            <w:r w:rsidRPr="00B772D8">
              <w:rPr>
                <w:rFonts w:asciiTheme="minorHAnsi" w:hAnsiTheme="minorHAnsi" w:cstheme="minorHAnsi"/>
                <w:b/>
                <w:color w:val="000000"/>
              </w:rPr>
              <w:t>Coastal warnings</w:t>
            </w:r>
          </w:p>
        </w:tc>
        <w:tc>
          <w:tcPr>
            <w:tcW w:w="2083" w:type="dxa"/>
          </w:tcPr>
          <w:p w14:paraId="5381C36C" w14:textId="77777777" w:rsidR="00B43214" w:rsidRPr="00B772D8" w:rsidRDefault="00B43214" w:rsidP="00834E3E">
            <w:pPr>
              <w:autoSpaceDE w:val="0"/>
              <w:autoSpaceDN w:val="0"/>
              <w:adjustRightInd w:val="0"/>
              <w:spacing w:before="60" w:after="60"/>
              <w:jc w:val="center"/>
              <w:rPr>
                <w:rFonts w:asciiTheme="minorHAnsi" w:hAnsiTheme="minorHAnsi" w:cstheme="minorHAnsi"/>
                <w:color w:val="000000"/>
              </w:rPr>
            </w:pPr>
            <w:r w:rsidRPr="00B772D8">
              <w:rPr>
                <w:rFonts w:asciiTheme="minorHAnsi" w:hAnsiTheme="minorHAnsi" w:cstheme="minorHAnsi"/>
                <w:color w:val="000000"/>
              </w:rPr>
              <w:t>National Coordinator</w:t>
            </w:r>
          </w:p>
        </w:tc>
        <w:tc>
          <w:tcPr>
            <w:tcW w:w="2556" w:type="dxa"/>
          </w:tcPr>
          <w:p w14:paraId="3432E552" w14:textId="77777777" w:rsidR="00B43214" w:rsidRPr="00B772D8" w:rsidRDefault="00B43214" w:rsidP="00834E3E">
            <w:pPr>
              <w:autoSpaceDE w:val="0"/>
              <w:autoSpaceDN w:val="0"/>
              <w:adjustRightInd w:val="0"/>
              <w:spacing w:before="60" w:after="60"/>
              <w:rPr>
                <w:rFonts w:asciiTheme="minorHAnsi" w:hAnsiTheme="minorHAnsi" w:cstheme="minorHAnsi"/>
                <w:color w:val="000000"/>
              </w:rPr>
            </w:pPr>
            <w:r w:rsidRPr="00B772D8">
              <w:rPr>
                <w:rFonts w:asciiTheme="minorHAnsi" w:hAnsiTheme="minorHAnsi" w:cstheme="minorHAnsi"/>
                <w:color w:val="000000"/>
              </w:rPr>
              <w:t>NAVTEX (NAVigational TEXt Messages)</w:t>
            </w:r>
          </w:p>
        </w:tc>
        <w:tc>
          <w:tcPr>
            <w:tcW w:w="2516" w:type="dxa"/>
          </w:tcPr>
          <w:p w14:paraId="1F944186" w14:textId="77777777" w:rsidR="00B43214" w:rsidRPr="00B772D8" w:rsidRDefault="00B43214" w:rsidP="00834E3E">
            <w:pPr>
              <w:autoSpaceDE w:val="0"/>
              <w:autoSpaceDN w:val="0"/>
              <w:adjustRightInd w:val="0"/>
              <w:spacing w:before="60" w:after="60"/>
              <w:rPr>
                <w:rFonts w:asciiTheme="minorHAnsi" w:hAnsiTheme="minorHAnsi" w:cstheme="minorHAnsi"/>
                <w:color w:val="000000"/>
              </w:rPr>
            </w:pPr>
            <w:r w:rsidRPr="00B772D8">
              <w:rPr>
                <w:rFonts w:asciiTheme="minorHAnsi" w:hAnsiTheme="minorHAnsi" w:cstheme="minorHAnsi"/>
              </w:rPr>
              <w:t>radio telephony broadcasts</w:t>
            </w:r>
          </w:p>
        </w:tc>
      </w:tr>
      <w:tr w:rsidR="00B43214" w:rsidRPr="00D35F15" w14:paraId="700BB4A7" w14:textId="77777777" w:rsidTr="00636BAE">
        <w:trPr>
          <w:trHeight w:val="836"/>
          <w:jc w:val="center"/>
        </w:trPr>
        <w:tc>
          <w:tcPr>
            <w:tcW w:w="1877" w:type="dxa"/>
          </w:tcPr>
          <w:p w14:paraId="14C1622B" w14:textId="77777777" w:rsidR="00B43214" w:rsidRPr="00B772D8" w:rsidRDefault="00B43214" w:rsidP="00834E3E">
            <w:pPr>
              <w:autoSpaceDE w:val="0"/>
              <w:autoSpaceDN w:val="0"/>
              <w:adjustRightInd w:val="0"/>
              <w:spacing w:before="60" w:after="60"/>
              <w:rPr>
                <w:rFonts w:asciiTheme="minorHAnsi" w:hAnsiTheme="minorHAnsi" w:cstheme="minorHAnsi"/>
                <w:b/>
                <w:color w:val="000000"/>
              </w:rPr>
            </w:pPr>
            <w:r w:rsidRPr="00B772D8">
              <w:rPr>
                <w:rFonts w:asciiTheme="minorHAnsi" w:hAnsiTheme="minorHAnsi" w:cstheme="minorHAnsi"/>
                <w:b/>
                <w:color w:val="000000"/>
              </w:rPr>
              <w:t>Local warnings</w:t>
            </w:r>
          </w:p>
        </w:tc>
        <w:tc>
          <w:tcPr>
            <w:tcW w:w="2083" w:type="dxa"/>
          </w:tcPr>
          <w:p w14:paraId="59DFC70A" w14:textId="77777777" w:rsidR="00B43214" w:rsidRPr="00B772D8" w:rsidRDefault="00B43214" w:rsidP="00834E3E">
            <w:pPr>
              <w:autoSpaceDE w:val="0"/>
              <w:autoSpaceDN w:val="0"/>
              <w:adjustRightInd w:val="0"/>
              <w:spacing w:before="60" w:after="60"/>
              <w:jc w:val="center"/>
              <w:rPr>
                <w:rFonts w:asciiTheme="minorHAnsi" w:hAnsiTheme="minorHAnsi" w:cstheme="minorHAnsi"/>
                <w:color w:val="000000"/>
              </w:rPr>
            </w:pPr>
            <w:r w:rsidRPr="00B772D8">
              <w:rPr>
                <w:rFonts w:asciiTheme="minorHAnsi" w:hAnsiTheme="minorHAnsi" w:cstheme="minorHAnsi"/>
                <w:color w:val="000000"/>
              </w:rPr>
              <w:t>Local Coordinator</w:t>
            </w:r>
          </w:p>
        </w:tc>
        <w:tc>
          <w:tcPr>
            <w:tcW w:w="2556" w:type="dxa"/>
          </w:tcPr>
          <w:p w14:paraId="78E3A60B" w14:textId="77777777" w:rsidR="00B43214" w:rsidRPr="00B772D8" w:rsidRDefault="00B43214" w:rsidP="00834E3E">
            <w:pPr>
              <w:autoSpaceDE w:val="0"/>
              <w:autoSpaceDN w:val="0"/>
              <w:adjustRightInd w:val="0"/>
              <w:spacing w:before="60" w:after="60"/>
              <w:rPr>
                <w:rFonts w:asciiTheme="minorHAnsi" w:hAnsiTheme="minorHAnsi" w:cstheme="minorHAnsi"/>
                <w:color w:val="000000"/>
              </w:rPr>
            </w:pPr>
            <w:r w:rsidRPr="00B772D8">
              <w:rPr>
                <w:rFonts w:asciiTheme="minorHAnsi" w:hAnsiTheme="minorHAnsi" w:cstheme="minorHAnsi"/>
                <w:color w:val="000000"/>
              </w:rPr>
              <w:t>VHF, voice or other alternative local communication means</w:t>
            </w:r>
          </w:p>
        </w:tc>
        <w:tc>
          <w:tcPr>
            <w:tcW w:w="2516" w:type="dxa"/>
          </w:tcPr>
          <w:p w14:paraId="5065E4EA" w14:textId="77777777" w:rsidR="00B43214" w:rsidRPr="00B772D8" w:rsidRDefault="00B43214" w:rsidP="00834E3E">
            <w:pPr>
              <w:autoSpaceDE w:val="0"/>
              <w:autoSpaceDN w:val="0"/>
              <w:adjustRightInd w:val="0"/>
              <w:spacing w:before="60" w:after="60"/>
              <w:rPr>
                <w:rFonts w:asciiTheme="minorHAnsi" w:hAnsiTheme="minorHAnsi" w:cstheme="minorHAnsi"/>
                <w:color w:val="000000"/>
              </w:rPr>
            </w:pPr>
          </w:p>
        </w:tc>
      </w:tr>
    </w:tbl>
    <w:p w14:paraId="48EF7CA1" w14:textId="77777777" w:rsidR="00B43214" w:rsidRDefault="00B43214" w:rsidP="00636BAE">
      <w:pPr>
        <w:pStyle w:val="Heading3"/>
      </w:pPr>
      <w:bookmarkStart w:id="4" w:name="_Toc40452509"/>
      <w:r>
        <w:t>Schedule</w:t>
      </w:r>
      <w:bookmarkEnd w:id="4"/>
    </w:p>
    <w:p w14:paraId="268D0E0C" w14:textId="131943D0" w:rsidR="00B43214" w:rsidRPr="00DE139B" w:rsidRDefault="00B43214" w:rsidP="00636BAE">
      <w:pPr>
        <w:pStyle w:val="BodyText"/>
        <w:spacing w:before="120"/>
      </w:pPr>
      <w:r>
        <w:t>N</w:t>
      </w:r>
      <w:r w:rsidRPr="00DE139B">
        <w:t xml:space="preserve">avigational warnings should be broadcast as soon as possible or as dictated by the nature and timing of the event. </w:t>
      </w:r>
      <w:r>
        <w:t xml:space="preserve">According to the MSI Manual </w:t>
      </w:r>
      <w:r>
        <w:fldChar w:fldCharType="begin"/>
      </w:r>
      <w:r>
        <w:instrText xml:space="preserve"> REF _Ref493233368 \r \h  \* MERGEFORMAT </w:instrText>
      </w:r>
      <w:r>
        <w:fldChar w:fldCharType="separate"/>
      </w:r>
      <w:r>
        <w:t>[RD-1]</w:t>
      </w:r>
      <w:r>
        <w:fldChar w:fldCharType="end"/>
      </w:r>
      <w:r w:rsidRPr="00DE139B">
        <w:t xml:space="preserve">, the initial broadcast </w:t>
      </w:r>
      <w:r>
        <w:t xml:space="preserve">of the warning </w:t>
      </w:r>
      <w:r w:rsidRPr="00DE139B">
        <w:t>should be</w:t>
      </w:r>
      <w:r>
        <w:t xml:space="preserve"> done a</w:t>
      </w:r>
      <w:r w:rsidRPr="00DE139B">
        <w:t xml:space="preserve">s follows: </w:t>
      </w:r>
    </w:p>
    <w:p w14:paraId="0C60A8DF" w14:textId="77777777" w:rsidR="00B43214" w:rsidRPr="00636BAE" w:rsidRDefault="00B43214" w:rsidP="00636BAE">
      <w:pPr>
        <w:pStyle w:val="BodyText"/>
        <w:numPr>
          <w:ilvl w:val="0"/>
          <w:numId w:val="50"/>
        </w:numPr>
      </w:pPr>
      <w:r w:rsidRPr="00636BAE">
        <w:t xml:space="preserve">For NAVTEX, at the next scheduled broadcast slot, unless circumstances indicate the use of procedures for VITAL or IMPORTANT warnings; and </w:t>
      </w:r>
    </w:p>
    <w:p w14:paraId="733B2390" w14:textId="77777777" w:rsidR="00B43214" w:rsidRPr="00636BAE" w:rsidRDefault="00B43214" w:rsidP="00636BAE">
      <w:pPr>
        <w:pStyle w:val="BodyText"/>
        <w:numPr>
          <w:ilvl w:val="0"/>
          <w:numId w:val="50"/>
        </w:numPr>
      </w:pPr>
      <w:r w:rsidRPr="00636BAE">
        <w:t xml:space="preserve">For Satellite Services (SafetyNET), within 30 minutes of receipt of original information, or at the next scheduled broadcast. </w:t>
      </w:r>
    </w:p>
    <w:p w14:paraId="60D04C01" w14:textId="77777777" w:rsidR="00B43214" w:rsidRDefault="00B43214" w:rsidP="00636BAE">
      <w:pPr>
        <w:pStyle w:val="Heading3"/>
      </w:pPr>
      <w:bookmarkStart w:id="5" w:name="_Toc40452510"/>
      <w:r>
        <w:t>Format</w:t>
      </w:r>
      <w:bookmarkEnd w:id="5"/>
    </w:p>
    <w:p w14:paraId="3200A040" w14:textId="6AFE47AD" w:rsidR="00B43214" w:rsidRDefault="00B43214" w:rsidP="00636BAE">
      <w:pPr>
        <w:pStyle w:val="BodyText"/>
        <w:spacing w:before="120"/>
      </w:pPr>
      <w:r>
        <w:t xml:space="preserve">Regarding the language, according to IMO Resolution A.706(17), as amended </w:t>
      </w:r>
      <w:r w:rsidR="008A0124">
        <w:fldChar w:fldCharType="begin"/>
      </w:r>
      <w:r w:rsidR="008A0124">
        <w:instrText xml:space="preserve"> REF _Ref49447486 \r \h </w:instrText>
      </w:r>
      <w:r w:rsidR="008A0124">
        <w:fldChar w:fldCharType="separate"/>
      </w:r>
      <w:r w:rsidR="008A0124">
        <w:t>[5]</w:t>
      </w:r>
      <w:r w:rsidR="008A0124">
        <w:fldChar w:fldCharType="end"/>
      </w:r>
      <w:r>
        <w:t xml:space="preserve">, and A.1051(27) as amended </w:t>
      </w:r>
      <w:r w:rsidR="00B645E6">
        <w:fldChar w:fldCharType="begin"/>
      </w:r>
      <w:r w:rsidR="00B645E6">
        <w:instrText xml:space="preserve"> REF _Ref49447602 \r \h </w:instrText>
      </w:r>
      <w:r w:rsidR="00B645E6">
        <w:fldChar w:fldCharType="separate"/>
      </w:r>
      <w:r w:rsidR="00B645E6">
        <w:t>[7]</w:t>
      </w:r>
      <w:r w:rsidR="00B645E6">
        <w:fldChar w:fldCharType="end"/>
      </w:r>
      <w:r w:rsidR="00636BAE">
        <w:t xml:space="preserve"> </w:t>
      </w:r>
      <w:r>
        <w:t xml:space="preserve">, all NAVAREA, Sub-area and coastal warnings and METAREA, Sub-area warnings and other forecasts should be broadcast </w:t>
      </w:r>
      <w:r w:rsidRPr="00636BAE">
        <w:t>only in English</w:t>
      </w:r>
      <w:r>
        <w:t xml:space="preserve"> in the International Satellite (SafetyNET) Services. In addition to the required broadcasts in English, METAREA/NAVAREA, Sub-area and coastal warnings may be broadcast in a national language using a National SafetyNET services.</w:t>
      </w:r>
    </w:p>
    <w:p w14:paraId="5D108194" w14:textId="452E259A" w:rsidR="00B43214" w:rsidRDefault="00B43214" w:rsidP="00636BAE">
      <w:pPr>
        <w:pStyle w:val="BodyText"/>
        <w:spacing w:before="120"/>
      </w:pPr>
      <w:r>
        <w:t>Regarding the messages format, it is essential to present the information in a consistent format that is clear, unambiguous and brief. And this is ensured by using structured messages in standard formats, as shown in the MSI Manual</w:t>
      </w:r>
      <w:r>
        <w:fldChar w:fldCharType="begin"/>
      </w:r>
      <w:r>
        <w:instrText xml:space="preserve"> REF _Ref493233368 \r \h </w:instrText>
      </w:r>
      <w:r w:rsidR="00636BAE">
        <w:instrText xml:space="preserve"> \* MERGEFORMAT </w:instrText>
      </w:r>
      <w:r>
        <w:fldChar w:fldCharType="separate"/>
      </w:r>
      <w:r>
        <w:t>[RD-1]</w:t>
      </w:r>
      <w:r>
        <w:fldChar w:fldCharType="end"/>
      </w:r>
      <w:r>
        <w:t xml:space="preserve">. The elements (fields) to be included in the messages are indicated in the table below: </w:t>
      </w:r>
    </w:p>
    <w:p w14:paraId="5D47EBCC" w14:textId="77777777" w:rsidR="00B43214" w:rsidRDefault="00B43214" w:rsidP="00B43214">
      <w:pPr>
        <w:jc w:val="center"/>
      </w:pPr>
      <w:r>
        <w:rPr>
          <w:noProof/>
          <w:lang w:val="es-ES" w:eastAsia="es-ES"/>
        </w:rPr>
        <w:drawing>
          <wp:inline distT="0" distB="0" distL="0" distR="0" wp14:anchorId="196B6FE0" wp14:editId="49AF971A">
            <wp:extent cx="1779893" cy="3140111"/>
            <wp:effectExtent l="0" t="0" r="0" b="31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6983" cy="3152620"/>
                    </a:xfrm>
                    <a:prstGeom prst="rect">
                      <a:avLst/>
                    </a:prstGeom>
                    <a:noFill/>
                    <a:ln>
                      <a:noFill/>
                    </a:ln>
                  </pic:spPr>
                </pic:pic>
              </a:graphicData>
            </a:graphic>
          </wp:inline>
        </w:drawing>
      </w:r>
    </w:p>
    <w:p w14:paraId="2B2DD391" w14:textId="77777777" w:rsidR="00B43214" w:rsidRPr="00430D86" w:rsidRDefault="00B43214" w:rsidP="00B43214">
      <w:pPr>
        <w:pStyle w:val="Caption"/>
      </w:pPr>
      <w:bookmarkStart w:id="6" w:name="_Toc40452530"/>
      <w:r w:rsidRPr="00430D86">
        <w:t xml:space="preserve">Table </w:t>
      </w:r>
      <w:r w:rsidR="002F7BC5">
        <w:rPr>
          <w:noProof/>
        </w:rPr>
        <w:fldChar w:fldCharType="begin"/>
      </w:r>
      <w:r w:rsidR="002F7BC5">
        <w:rPr>
          <w:noProof/>
        </w:rPr>
        <w:instrText xml:space="preserve"> SEQ Table \* ARABIC </w:instrText>
      </w:r>
      <w:r w:rsidR="002F7BC5">
        <w:rPr>
          <w:noProof/>
        </w:rPr>
        <w:fldChar w:fldCharType="separate"/>
      </w:r>
      <w:r>
        <w:rPr>
          <w:noProof/>
        </w:rPr>
        <w:t>8</w:t>
      </w:r>
      <w:r w:rsidR="002F7BC5">
        <w:rPr>
          <w:noProof/>
        </w:rPr>
        <w:fldChar w:fldCharType="end"/>
      </w:r>
      <w:r w:rsidRPr="00430D86">
        <w:t>.</w:t>
      </w:r>
      <w:r>
        <w:t xml:space="preserve"> Navigational warnings fields</w:t>
      </w:r>
      <w:bookmarkEnd w:id="6"/>
    </w:p>
    <w:p w14:paraId="181A2F14" w14:textId="77777777" w:rsidR="00B43214" w:rsidRDefault="00B43214" w:rsidP="00636BAE">
      <w:pPr>
        <w:pStyle w:val="BodyText"/>
        <w:spacing w:before="120"/>
      </w:pPr>
      <w:r w:rsidRPr="003520A8">
        <w:t>Navigational warnings should be consecutively numbered throughout the calendar year</w:t>
      </w:r>
      <w:r>
        <w:t xml:space="preserve">. </w:t>
      </w:r>
    </w:p>
    <w:p w14:paraId="3F8CDE18" w14:textId="69907F82" w:rsidR="00B43214" w:rsidRDefault="00B43214" w:rsidP="00636BAE">
      <w:pPr>
        <w:pStyle w:val="BodyText"/>
        <w:spacing w:before="120"/>
      </w:pPr>
      <w:r w:rsidRPr="003520A8">
        <w:lastRenderedPageBreak/>
        <w:t>The minimum information which a mariner requires</w:t>
      </w:r>
      <w:r>
        <w:t xml:space="preserve"> to be included in the warnings</w:t>
      </w:r>
      <w:r w:rsidRPr="003520A8">
        <w:t xml:space="preserve"> to avoid danger is Hazard and Position. However, it is usual to include</w:t>
      </w:r>
      <w:r>
        <w:t xml:space="preserve"> also additional information in the</w:t>
      </w:r>
      <w:r w:rsidRPr="003520A8">
        <w:t xml:space="preserve"> amplifying remarks</w:t>
      </w:r>
      <w:r>
        <w:t xml:space="preserve"> field, </w:t>
      </w:r>
      <w:r w:rsidRPr="003520A8">
        <w:t xml:space="preserve">in order to provide sufficient extra details to clearly identify the significance of the hazard and to assist mariners in recognizing and assessing its effect upon their navigation: for </w:t>
      </w:r>
      <w:r w:rsidR="00636BAE" w:rsidRPr="003520A8">
        <w:t>example,</w:t>
      </w:r>
      <w:r w:rsidRPr="003520A8">
        <w:t xml:space="preserve"> the time, date and duration of the event, if known.</w:t>
      </w:r>
    </w:p>
    <w:p w14:paraId="041E9135" w14:textId="77777777" w:rsidR="00A446C9" w:rsidRPr="007A395D" w:rsidRDefault="00A446C9" w:rsidP="00605E43">
      <w:pPr>
        <w:pStyle w:val="Heading1"/>
      </w:pPr>
      <w:r w:rsidRPr="007A395D">
        <w:t>Discussion</w:t>
      </w:r>
    </w:p>
    <w:p w14:paraId="23B5467E" w14:textId="5125B55E" w:rsidR="00F25BF4" w:rsidRDefault="00636BAE" w:rsidP="00F36489">
      <w:pPr>
        <w:pStyle w:val="BodyText"/>
      </w:pPr>
      <w:r>
        <w:t>Based on the established procedures for the provision of MSI, in particular Navigational Warnings, to the mariners, a preliminary approach for the generation and provision of Galileo MSI has been defined.</w:t>
      </w:r>
    </w:p>
    <w:p w14:paraId="2EABC84B" w14:textId="0F9EDC05" w:rsidR="00864DF1" w:rsidRDefault="00864DF1" w:rsidP="00F36489">
      <w:pPr>
        <w:pStyle w:val="BodyText"/>
      </w:pPr>
      <w:r>
        <w:t>The proposed approach is presented in the Annex 1 to this paper.</w:t>
      </w:r>
    </w:p>
    <w:p w14:paraId="1D083D92" w14:textId="77777777" w:rsidR="00180DDA" w:rsidRPr="007A395D" w:rsidRDefault="00180DDA" w:rsidP="00605E43">
      <w:pPr>
        <w:pStyle w:val="Heading1"/>
      </w:pPr>
      <w:r w:rsidRPr="007A395D">
        <w:t>References</w:t>
      </w:r>
    </w:p>
    <w:p w14:paraId="602EDD48" w14:textId="1554D54A" w:rsidR="00180DDA" w:rsidRPr="004D482B" w:rsidRDefault="004D482B" w:rsidP="00F36489">
      <w:pPr>
        <w:pStyle w:val="References"/>
      </w:pPr>
      <w:bookmarkStart w:id="7" w:name="_Ref49447411"/>
      <w:r w:rsidRPr="004D482B">
        <w:t xml:space="preserve">Joint IHO/IMO/WMO Manual on Maritime Safety Information (MSI), </w:t>
      </w:r>
      <w:r w:rsidRPr="004D482B">
        <w:rPr>
          <w:rFonts w:cstheme="minorHAnsi"/>
        </w:rPr>
        <w:t>January 2016 Edition</w:t>
      </w:r>
      <w:bookmarkEnd w:id="7"/>
    </w:p>
    <w:p w14:paraId="00EC0BCC" w14:textId="61E50B2B" w:rsidR="00180DDA" w:rsidRPr="004D482B" w:rsidRDefault="004D482B" w:rsidP="00F36489">
      <w:pPr>
        <w:pStyle w:val="References"/>
      </w:pPr>
      <w:bookmarkStart w:id="8" w:name="_Ref49447459"/>
      <w:r w:rsidRPr="004D482B">
        <w:t>Safety of Life at Sea (SOLAS) Convention, November 1974</w:t>
      </w:r>
      <w:bookmarkEnd w:id="8"/>
    </w:p>
    <w:p w14:paraId="01412DA6" w14:textId="333A2D20" w:rsidR="004D482B" w:rsidRPr="004D482B" w:rsidRDefault="004D482B" w:rsidP="004D482B">
      <w:pPr>
        <w:pStyle w:val="References"/>
      </w:pPr>
      <w:r w:rsidRPr="004D482B">
        <w:t xml:space="preserve"> IMO Resolution A.1046(27) on WorldWide RadioNavigation System, 30 November 2011</w:t>
      </w:r>
    </w:p>
    <w:p w14:paraId="2AEA4AB0" w14:textId="7B36E28C" w:rsidR="004D482B" w:rsidRPr="004D482B" w:rsidRDefault="004D482B" w:rsidP="00F36489">
      <w:pPr>
        <w:pStyle w:val="References"/>
      </w:pPr>
      <w:r w:rsidRPr="004D482B">
        <w:t>IMO Resolution MSC.468(101) on Amendments to Promulgation of Maritime Safety Information (Resolution A.705(17)), 14 June 2019</w:t>
      </w:r>
    </w:p>
    <w:p w14:paraId="039E0F72" w14:textId="26F87A78" w:rsidR="004D482B" w:rsidRPr="004D482B" w:rsidRDefault="004D482B" w:rsidP="00F36489">
      <w:pPr>
        <w:pStyle w:val="References"/>
      </w:pPr>
      <w:bookmarkStart w:id="9" w:name="_Ref49447486"/>
      <w:r w:rsidRPr="004D482B">
        <w:t>IMO resolution A.706(17) on World-wide navigational warning service, November 1991</w:t>
      </w:r>
      <w:bookmarkEnd w:id="9"/>
    </w:p>
    <w:p w14:paraId="257F0A5D" w14:textId="240105B9" w:rsidR="004D482B" w:rsidRDefault="004D482B" w:rsidP="00F36489">
      <w:pPr>
        <w:pStyle w:val="References"/>
      </w:pPr>
      <w:bookmarkStart w:id="10" w:name="_Ref49447390"/>
      <w:r w:rsidRPr="004D482B">
        <w:t>Galileo Open Service – Service Definition Document, Issue 1.1 , May 2019</w:t>
      </w:r>
      <w:bookmarkEnd w:id="10"/>
    </w:p>
    <w:p w14:paraId="4ECD7CBA" w14:textId="64C18D0E" w:rsidR="00B645E6" w:rsidRPr="004D482B" w:rsidRDefault="00B645E6" w:rsidP="00F36489">
      <w:pPr>
        <w:pStyle w:val="References"/>
      </w:pPr>
      <w:bookmarkStart w:id="11" w:name="_Ref49447602"/>
      <w:r>
        <w:t>IMO Resolution A.1051(27) - IMO/WMO Worldwide Met-Ocean Information and Warning Service– Guidance Document, 30 November 2011</w:t>
      </w:r>
      <w:bookmarkEnd w:id="11"/>
    </w:p>
    <w:p w14:paraId="6C562548" w14:textId="77777777" w:rsidR="004D482B" w:rsidRPr="00D9150E" w:rsidRDefault="004D482B" w:rsidP="004D482B">
      <w:pPr>
        <w:pStyle w:val="References"/>
        <w:numPr>
          <w:ilvl w:val="0"/>
          <w:numId w:val="0"/>
        </w:numPr>
        <w:rPr>
          <w:highlight w:val="yellow"/>
          <w:lang w:eastAsia="de-DE"/>
        </w:rPr>
      </w:pPr>
    </w:p>
    <w:p w14:paraId="7A8D2F27" w14:textId="77777777" w:rsidR="00A446C9" w:rsidRPr="007A395D" w:rsidRDefault="00A446C9" w:rsidP="00605E43">
      <w:pPr>
        <w:pStyle w:val="Heading1"/>
      </w:pPr>
      <w:r w:rsidRPr="007A395D">
        <w:t>Action requested of the Committee</w:t>
      </w:r>
    </w:p>
    <w:p w14:paraId="1556E528" w14:textId="50B3CBDF" w:rsidR="00F25BF4" w:rsidRPr="007A395D" w:rsidRDefault="00F25BF4" w:rsidP="00F36489">
      <w:pPr>
        <w:pStyle w:val="BodyText"/>
      </w:pPr>
      <w:r w:rsidRPr="007A395D">
        <w:t>The Committee is requested to:</w:t>
      </w:r>
    </w:p>
    <w:p w14:paraId="41A1E375" w14:textId="7BA01E43" w:rsidR="00F25BF4" w:rsidRPr="007A395D" w:rsidRDefault="00F27C5A" w:rsidP="00F36489">
      <w:pPr>
        <w:pStyle w:val="List1"/>
        <w:numPr>
          <w:ilvl w:val="0"/>
          <w:numId w:val="39"/>
        </w:numPr>
      </w:pPr>
      <w:r>
        <w:t xml:space="preserve">Revise the information provided in </w:t>
      </w:r>
      <w:r w:rsidR="00E06B1E">
        <w:t xml:space="preserve">Annex 1 to </w:t>
      </w:r>
      <w:r>
        <w:t>this input paper</w:t>
      </w:r>
      <w:r w:rsidR="00D315A3">
        <w:t>.</w:t>
      </w:r>
    </w:p>
    <w:p w14:paraId="7A9FD49F" w14:textId="62F2D685" w:rsidR="00F25BF4" w:rsidRDefault="00F27C5A" w:rsidP="00F36489">
      <w:pPr>
        <w:pStyle w:val="List1"/>
      </w:pPr>
      <w:r>
        <w:t xml:space="preserve">Provide feedback and comments </w:t>
      </w:r>
      <w:r w:rsidR="00D315A3">
        <w:t>on</w:t>
      </w:r>
      <w:r>
        <w:t xml:space="preserve"> the proposed approach for the generation and provision of Galileo Maritime Safety Information</w:t>
      </w:r>
      <w:r w:rsidR="005E3C32">
        <w:t>.</w:t>
      </w:r>
    </w:p>
    <w:p w14:paraId="776B7148" w14:textId="682B5F45" w:rsidR="005E3C32" w:rsidRPr="007A395D" w:rsidRDefault="005E3C32" w:rsidP="00F36489">
      <w:pPr>
        <w:pStyle w:val="List1"/>
      </w:pPr>
      <w:r>
        <w:t>Consider the possibility to send a Liaison Paper to IHO.</w:t>
      </w:r>
    </w:p>
    <w:p w14:paraId="60ACBEC9" w14:textId="77777777" w:rsidR="004D1D85" w:rsidRPr="007A395D" w:rsidRDefault="004D1D85" w:rsidP="00F36489">
      <w:pPr>
        <w:pStyle w:val="List1"/>
        <w:numPr>
          <w:ilvl w:val="0"/>
          <w:numId w:val="0"/>
        </w:numPr>
        <w:ind w:left="567"/>
      </w:pPr>
    </w:p>
    <w:p w14:paraId="5E201BEE" w14:textId="77777777" w:rsidR="004D1D85" w:rsidRPr="007A395D" w:rsidRDefault="004D1D85" w:rsidP="00F36489">
      <w:pPr>
        <w:pStyle w:val="List1"/>
        <w:numPr>
          <w:ilvl w:val="0"/>
          <w:numId w:val="0"/>
        </w:numPr>
        <w:ind w:left="567"/>
      </w:pPr>
    </w:p>
    <w:p w14:paraId="10DC5D6B" w14:textId="77777777" w:rsidR="004D1D85" w:rsidRPr="007A395D" w:rsidRDefault="004D1D85" w:rsidP="0093354F">
      <w:pPr>
        <w:pStyle w:val="Annex"/>
        <w:sectPr w:rsidR="004D1D85" w:rsidRPr="007A395D" w:rsidSect="007A395D">
          <w:headerReference w:type="even" r:id="rId14"/>
          <w:headerReference w:type="default" r:id="rId15"/>
          <w:footerReference w:type="even" r:id="rId16"/>
          <w:footerReference w:type="default" r:id="rId17"/>
          <w:headerReference w:type="first" r:id="rId18"/>
          <w:footerReference w:type="first" r:id="rId19"/>
          <w:pgSz w:w="11906" w:h="16838"/>
          <w:pgMar w:top="709" w:right="991" w:bottom="1134" w:left="1134" w:header="709" w:footer="709" w:gutter="0"/>
          <w:cols w:space="708"/>
          <w:titlePg/>
          <w:docGrid w:linePitch="360"/>
        </w:sectPr>
      </w:pPr>
    </w:p>
    <w:p w14:paraId="3D659232" w14:textId="44E4649D" w:rsidR="00001231" w:rsidRDefault="00E06B1E" w:rsidP="004737B9">
      <w:pPr>
        <w:pStyle w:val="Annex"/>
      </w:pPr>
      <w:r>
        <w:lastRenderedPageBreak/>
        <w:t>GALILEO MARITIME SAFETY INFORMATION</w:t>
      </w:r>
      <w:r w:rsidR="00F05BF5">
        <w:t xml:space="preserve"> (MSI)</w:t>
      </w:r>
      <w:r w:rsidR="00001231">
        <w:t xml:space="preserve"> APPROACH</w:t>
      </w:r>
    </w:p>
    <w:p w14:paraId="70F8912F" w14:textId="2EA6E6CC" w:rsidR="000005D3" w:rsidRPr="007A395D" w:rsidRDefault="00001231" w:rsidP="00D9150E">
      <w:pPr>
        <w:pStyle w:val="BodyText"/>
      </w:pPr>
      <w:r>
        <w:t>This Annex presents a preliminary approach for the generation of Galileo related Maritime Safety Information (MSI).</w:t>
      </w:r>
    </w:p>
    <w:p w14:paraId="0AE6A493" w14:textId="1643BB23" w:rsidR="000005D3" w:rsidRDefault="00001231" w:rsidP="00D9150E">
      <w:pPr>
        <w:pStyle w:val="AnnexHeading1"/>
        <w:numPr>
          <w:ilvl w:val="0"/>
          <w:numId w:val="62"/>
        </w:numPr>
        <w:rPr>
          <w:rFonts w:ascii="Calibri" w:hAnsi="Calibri"/>
          <w:color w:val="4F81BD" w:themeColor="accent1"/>
        </w:rPr>
      </w:pPr>
      <w:r>
        <w:rPr>
          <w:rFonts w:ascii="Calibri" w:hAnsi="Calibri"/>
          <w:color w:val="4F81BD" w:themeColor="accent1"/>
        </w:rPr>
        <w:t xml:space="preserve">Galileo MSI </w:t>
      </w:r>
    </w:p>
    <w:p w14:paraId="4AFB7737" w14:textId="47576ED7" w:rsidR="00001231" w:rsidRDefault="00001231" w:rsidP="00D9150E">
      <w:pPr>
        <w:pStyle w:val="BodyText"/>
      </w:pPr>
      <w:r>
        <w:t xml:space="preserve">The Galileo Service related MSI to be communicated to the Vessels will be: any degradation of performances (of a duration of 2 hours of more) with respect to IMO Resolution A.1046 (27) operational requirements for </w:t>
      </w:r>
      <w:r w:rsidRPr="00D9150E">
        <w:rPr>
          <w:b/>
        </w:rPr>
        <w:t>WWRNS</w:t>
      </w:r>
      <w:r>
        <w:t xml:space="preserve">, which are summarised in the table below: </w:t>
      </w:r>
    </w:p>
    <w:p w14:paraId="02109233" w14:textId="20588893" w:rsidR="00D37F17" w:rsidRPr="007A395D" w:rsidRDefault="00123578" w:rsidP="00D37F17">
      <w:pPr>
        <w:pStyle w:val="Table"/>
      </w:pPr>
      <w:r>
        <w:t xml:space="preserve">Operational requirements in IMO </w:t>
      </w:r>
      <w:r w:rsidR="00F11C4B">
        <w:t>Resolution</w:t>
      </w:r>
      <w:r>
        <w:t xml:space="preserve"> A.1046(27)</w:t>
      </w:r>
    </w:p>
    <w:tbl>
      <w:tblPr>
        <w:tblStyle w:val="TableGrid"/>
        <w:tblW w:w="5000" w:type="pct"/>
        <w:tblLook w:val="0000" w:firstRow="0" w:lastRow="0" w:firstColumn="0" w:lastColumn="0" w:noHBand="0" w:noVBand="0"/>
      </w:tblPr>
      <w:tblGrid>
        <w:gridCol w:w="2303"/>
        <w:gridCol w:w="1246"/>
        <w:gridCol w:w="1296"/>
        <w:gridCol w:w="1221"/>
        <w:gridCol w:w="1042"/>
        <w:gridCol w:w="1284"/>
        <w:gridCol w:w="1236"/>
      </w:tblGrid>
      <w:tr w:rsidR="00D37F17" w:rsidRPr="00D37F17" w14:paraId="042B1ED0" w14:textId="77777777" w:rsidTr="00D9150E">
        <w:trPr>
          <w:trHeight w:val="477"/>
        </w:trPr>
        <w:tc>
          <w:tcPr>
            <w:tcW w:w="1196" w:type="pct"/>
          </w:tcPr>
          <w:p w14:paraId="2C195DB0" w14:textId="77777777" w:rsidR="00001231" w:rsidRPr="00D9150E" w:rsidRDefault="00001231" w:rsidP="000E4964">
            <w:pPr>
              <w:pStyle w:val="Default"/>
              <w:rPr>
                <w:rFonts w:asciiTheme="minorHAnsi" w:hAnsiTheme="minorHAnsi"/>
                <w:sz w:val="22"/>
                <w:szCs w:val="22"/>
                <w:lang w:val="en-GB"/>
              </w:rPr>
            </w:pPr>
          </w:p>
        </w:tc>
        <w:tc>
          <w:tcPr>
            <w:tcW w:w="647" w:type="pct"/>
          </w:tcPr>
          <w:p w14:paraId="642BE135"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b/>
                <w:bCs/>
                <w:sz w:val="22"/>
                <w:szCs w:val="22"/>
              </w:rPr>
              <w:t>Horizontal Accuracy 95%</w:t>
            </w:r>
          </w:p>
        </w:tc>
        <w:tc>
          <w:tcPr>
            <w:tcW w:w="673" w:type="pct"/>
          </w:tcPr>
          <w:p w14:paraId="026B97E8"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b/>
                <w:bCs/>
                <w:sz w:val="22"/>
                <w:szCs w:val="22"/>
              </w:rPr>
              <w:t xml:space="preserve">Signal availability </w:t>
            </w:r>
          </w:p>
        </w:tc>
        <w:tc>
          <w:tcPr>
            <w:tcW w:w="634" w:type="pct"/>
          </w:tcPr>
          <w:p w14:paraId="74AF571A"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b/>
                <w:bCs/>
                <w:sz w:val="22"/>
                <w:szCs w:val="22"/>
              </w:rPr>
              <w:t xml:space="preserve">Service continuity (over 15min) </w:t>
            </w:r>
          </w:p>
        </w:tc>
        <w:tc>
          <w:tcPr>
            <w:tcW w:w="541" w:type="pct"/>
          </w:tcPr>
          <w:p w14:paraId="05AD66A7"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b/>
                <w:bCs/>
                <w:sz w:val="22"/>
                <w:szCs w:val="22"/>
              </w:rPr>
              <w:t xml:space="preserve">Position update rate </w:t>
            </w:r>
          </w:p>
        </w:tc>
        <w:tc>
          <w:tcPr>
            <w:tcW w:w="667" w:type="pct"/>
          </w:tcPr>
          <w:p w14:paraId="6847D5EE"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b/>
                <w:bCs/>
                <w:sz w:val="22"/>
                <w:szCs w:val="22"/>
              </w:rPr>
              <w:t>Integrity warnings</w:t>
            </w:r>
            <w:r w:rsidRPr="00D9150E">
              <w:rPr>
                <w:rFonts w:asciiTheme="minorHAnsi" w:hAnsiTheme="minorHAnsi"/>
                <w:b/>
                <w:bCs/>
                <w:sz w:val="22"/>
                <w:szCs w:val="22"/>
                <w:vertAlign w:val="superscript"/>
              </w:rPr>
              <w:t>1</w:t>
            </w:r>
            <w:r w:rsidRPr="00D9150E">
              <w:rPr>
                <w:rFonts w:asciiTheme="minorHAnsi" w:hAnsiTheme="minorHAnsi"/>
                <w:b/>
                <w:bCs/>
                <w:sz w:val="22"/>
                <w:szCs w:val="22"/>
              </w:rPr>
              <w:t xml:space="preserve"> </w:t>
            </w:r>
          </w:p>
        </w:tc>
        <w:tc>
          <w:tcPr>
            <w:tcW w:w="642" w:type="pct"/>
          </w:tcPr>
          <w:p w14:paraId="26E6ED52"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b/>
                <w:bCs/>
                <w:sz w:val="22"/>
                <w:szCs w:val="22"/>
              </w:rPr>
              <w:t xml:space="preserve">System coverage </w:t>
            </w:r>
          </w:p>
        </w:tc>
      </w:tr>
      <w:tr w:rsidR="00001231" w:rsidRPr="00D37F17" w14:paraId="48313461" w14:textId="77777777" w:rsidTr="00D9150E">
        <w:trPr>
          <w:trHeight w:val="309"/>
        </w:trPr>
        <w:tc>
          <w:tcPr>
            <w:tcW w:w="1196" w:type="pct"/>
          </w:tcPr>
          <w:p w14:paraId="0549B1A3"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b/>
                <w:bCs/>
                <w:sz w:val="22"/>
                <w:szCs w:val="22"/>
              </w:rPr>
              <w:t xml:space="preserve">Ocean waters </w:t>
            </w:r>
          </w:p>
        </w:tc>
        <w:tc>
          <w:tcPr>
            <w:tcW w:w="647" w:type="pct"/>
          </w:tcPr>
          <w:p w14:paraId="773063CC"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100m </w:t>
            </w:r>
          </w:p>
        </w:tc>
        <w:tc>
          <w:tcPr>
            <w:tcW w:w="673" w:type="pct"/>
          </w:tcPr>
          <w:p w14:paraId="1671820C"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99.8% </w:t>
            </w:r>
          </w:p>
        </w:tc>
        <w:tc>
          <w:tcPr>
            <w:tcW w:w="634" w:type="pct"/>
          </w:tcPr>
          <w:p w14:paraId="1B96C06E"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 </w:t>
            </w:r>
          </w:p>
        </w:tc>
        <w:tc>
          <w:tcPr>
            <w:tcW w:w="541" w:type="pct"/>
          </w:tcPr>
          <w:p w14:paraId="01610D0A"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2s </w:t>
            </w:r>
          </w:p>
        </w:tc>
        <w:tc>
          <w:tcPr>
            <w:tcW w:w="667" w:type="pct"/>
          </w:tcPr>
          <w:p w14:paraId="033DDA48" w14:textId="77777777" w:rsidR="00001231" w:rsidRPr="00D9150E" w:rsidRDefault="00001231" w:rsidP="000E4964">
            <w:pPr>
              <w:pStyle w:val="Default"/>
              <w:rPr>
                <w:rFonts w:asciiTheme="minorHAnsi" w:hAnsiTheme="minorHAnsi"/>
                <w:sz w:val="22"/>
                <w:szCs w:val="22"/>
                <w:lang w:val="en-GB"/>
              </w:rPr>
            </w:pPr>
            <w:r w:rsidRPr="00D9150E">
              <w:rPr>
                <w:rFonts w:asciiTheme="minorHAnsi" w:hAnsiTheme="minorHAnsi"/>
                <w:sz w:val="22"/>
                <w:szCs w:val="22"/>
                <w:lang w:val="en-GB"/>
              </w:rPr>
              <w:t xml:space="preserve">MSI as soon as practicable </w:t>
            </w:r>
          </w:p>
        </w:tc>
        <w:tc>
          <w:tcPr>
            <w:tcW w:w="642" w:type="pct"/>
          </w:tcPr>
          <w:p w14:paraId="76EB9E9F"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Adequate</w:t>
            </w:r>
            <w:r w:rsidRPr="00D9150E">
              <w:rPr>
                <w:rFonts w:asciiTheme="minorHAnsi" w:hAnsiTheme="minorHAnsi"/>
                <w:sz w:val="22"/>
                <w:szCs w:val="22"/>
                <w:vertAlign w:val="superscript"/>
              </w:rPr>
              <w:t xml:space="preserve">2 </w:t>
            </w:r>
          </w:p>
        </w:tc>
      </w:tr>
      <w:tr w:rsidR="00001231" w:rsidRPr="00D37F17" w14:paraId="387FF7A3" w14:textId="77777777" w:rsidTr="00D9150E">
        <w:trPr>
          <w:trHeight w:val="477"/>
        </w:trPr>
        <w:tc>
          <w:tcPr>
            <w:tcW w:w="1196" w:type="pct"/>
          </w:tcPr>
          <w:p w14:paraId="22B34D13" w14:textId="77777777" w:rsidR="00001231" w:rsidRPr="00D9150E" w:rsidRDefault="00001231" w:rsidP="000E4964">
            <w:pPr>
              <w:pStyle w:val="Default"/>
              <w:rPr>
                <w:rFonts w:asciiTheme="minorHAnsi" w:hAnsiTheme="minorHAnsi"/>
                <w:sz w:val="22"/>
                <w:szCs w:val="22"/>
                <w:lang w:val="en-GB"/>
              </w:rPr>
            </w:pPr>
            <w:r w:rsidRPr="00D9150E">
              <w:rPr>
                <w:rFonts w:asciiTheme="minorHAnsi" w:hAnsiTheme="minorHAnsi"/>
                <w:b/>
                <w:bCs/>
                <w:sz w:val="22"/>
                <w:szCs w:val="22"/>
                <w:lang w:val="en-GB"/>
              </w:rPr>
              <w:t xml:space="preserve">Harbour entrances, harbour approaches and coastal waters </w:t>
            </w:r>
          </w:p>
        </w:tc>
        <w:tc>
          <w:tcPr>
            <w:tcW w:w="647" w:type="pct"/>
          </w:tcPr>
          <w:p w14:paraId="53A09197"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10m </w:t>
            </w:r>
          </w:p>
        </w:tc>
        <w:tc>
          <w:tcPr>
            <w:tcW w:w="673" w:type="pct"/>
          </w:tcPr>
          <w:p w14:paraId="51FE36D4"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99.8% </w:t>
            </w:r>
          </w:p>
        </w:tc>
        <w:tc>
          <w:tcPr>
            <w:tcW w:w="634" w:type="pct"/>
          </w:tcPr>
          <w:p w14:paraId="208A4F37"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99.97% </w:t>
            </w:r>
          </w:p>
        </w:tc>
        <w:tc>
          <w:tcPr>
            <w:tcW w:w="541" w:type="pct"/>
          </w:tcPr>
          <w:p w14:paraId="750DAF8B"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2s </w:t>
            </w:r>
          </w:p>
        </w:tc>
        <w:tc>
          <w:tcPr>
            <w:tcW w:w="667" w:type="pct"/>
          </w:tcPr>
          <w:p w14:paraId="29145B0A"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 xml:space="preserve">10s </w:t>
            </w:r>
          </w:p>
        </w:tc>
        <w:tc>
          <w:tcPr>
            <w:tcW w:w="642" w:type="pct"/>
          </w:tcPr>
          <w:p w14:paraId="0CF545B5" w14:textId="77777777" w:rsidR="00001231" w:rsidRPr="00D9150E" w:rsidRDefault="00001231" w:rsidP="000E4964">
            <w:pPr>
              <w:pStyle w:val="Default"/>
              <w:rPr>
                <w:rFonts w:asciiTheme="minorHAnsi" w:hAnsiTheme="minorHAnsi"/>
                <w:sz w:val="22"/>
                <w:szCs w:val="22"/>
              </w:rPr>
            </w:pPr>
            <w:r w:rsidRPr="00D9150E">
              <w:rPr>
                <w:rFonts w:asciiTheme="minorHAnsi" w:hAnsiTheme="minorHAnsi"/>
                <w:sz w:val="22"/>
                <w:szCs w:val="22"/>
              </w:rPr>
              <w:t>Adequate</w:t>
            </w:r>
            <w:r w:rsidRPr="00D9150E">
              <w:rPr>
                <w:rFonts w:asciiTheme="minorHAnsi" w:hAnsiTheme="minorHAnsi"/>
                <w:sz w:val="22"/>
                <w:szCs w:val="22"/>
                <w:vertAlign w:val="superscript"/>
              </w:rPr>
              <w:t>2</w:t>
            </w:r>
            <w:r w:rsidRPr="00D9150E">
              <w:rPr>
                <w:rFonts w:asciiTheme="minorHAnsi" w:hAnsiTheme="minorHAnsi"/>
                <w:sz w:val="22"/>
                <w:szCs w:val="22"/>
              </w:rPr>
              <w:t xml:space="preserve"> </w:t>
            </w:r>
          </w:p>
        </w:tc>
      </w:tr>
      <w:tr w:rsidR="00001231" w:rsidRPr="00D37F17" w14:paraId="1E006FE2" w14:textId="77777777" w:rsidTr="00D9150E">
        <w:trPr>
          <w:trHeight w:val="147"/>
        </w:trPr>
        <w:tc>
          <w:tcPr>
            <w:tcW w:w="5000" w:type="pct"/>
            <w:gridSpan w:val="7"/>
          </w:tcPr>
          <w:p w14:paraId="204BFB9D" w14:textId="77777777" w:rsidR="00001231" w:rsidRPr="00D9150E" w:rsidRDefault="00001231" w:rsidP="000E4964">
            <w:pPr>
              <w:pStyle w:val="Default"/>
              <w:rPr>
                <w:rFonts w:asciiTheme="minorHAnsi" w:hAnsiTheme="minorHAnsi"/>
                <w:sz w:val="16"/>
                <w:szCs w:val="16"/>
                <w:lang w:val="en-GB"/>
              </w:rPr>
            </w:pPr>
            <w:r w:rsidRPr="00D9150E">
              <w:rPr>
                <w:rFonts w:asciiTheme="minorHAnsi" w:hAnsiTheme="minorHAnsi"/>
                <w:bCs/>
                <w:sz w:val="16"/>
                <w:szCs w:val="16"/>
                <w:vertAlign w:val="superscript"/>
                <w:lang w:val="en-GB"/>
              </w:rPr>
              <w:t>1</w:t>
            </w:r>
            <w:r w:rsidRPr="00D9150E">
              <w:rPr>
                <w:rFonts w:asciiTheme="minorHAnsi" w:hAnsiTheme="minorHAnsi"/>
                <w:bCs/>
                <w:sz w:val="16"/>
                <w:szCs w:val="16"/>
                <w:lang w:val="en-GB"/>
              </w:rPr>
              <w:t xml:space="preserve">Generation of integrity warnings in cases of system malfunctions, non-availability or discontinuities. </w:t>
            </w:r>
          </w:p>
        </w:tc>
      </w:tr>
      <w:tr w:rsidR="00001231" w:rsidRPr="00D37F17" w14:paraId="172B4470" w14:textId="77777777" w:rsidTr="00D9150E">
        <w:trPr>
          <w:trHeight w:val="316"/>
        </w:trPr>
        <w:tc>
          <w:tcPr>
            <w:tcW w:w="5000" w:type="pct"/>
            <w:gridSpan w:val="7"/>
          </w:tcPr>
          <w:p w14:paraId="11D0ED46" w14:textId="77777777" w:rsidR="00001231" w:rsidRPr="00D9150E" w:rsidRDefault="00001231" w:rsidP="000E4964">
            <w:pPr>
              <w:pStyle w:val="Default"/>
              <w:rPr>
                <w:rFonts w:asciiTheme="minorHAnsi" w:hAnsiTheme="minorHAnsi"/>
                <w:sz w:val="16"/>
                <w:szCs w:val="16"/>
                <w:lang w:val="en-GB"/>
              </w:rPr>
            </w:pPr>
            <w:r w:rsidRPr="00D9150E">
              <w:rPr>
                <w:rFonts w:asciiTheme="minorHAnsi" w:hAnsiTheme="minorHAnsi"/>
                <w:bCs/>
                <w:sz w:val="16"/>
                <w:szCs w:val="16"/>
                <w:vertAlign w:val="superscript"/>
                <w:lang w:val="en-GB"/>
              </w:rPr>
              <w:t>2</w:t>
            </w:r>
            <w:r w:rsidRPr="00D9150E">
              <w:rPr>
                <w:rFonts w:asciiTheme="minorHAnsi" w:hAnsiTheme="minorHAnsi"/>
                <w:bCs/>
                <w:sz w:val="16"/>
                <w:szCs w:val="16"/>
                <w:lang w:val="en-GB"/>
              </w:rPr>
              <w:t xml:space="preserve">Taking into account the radio frequency environment, the coverage of the system should be adequate to provide position-fixing throughout this phase of navigation. </w:t>
            </w:r>
          </w:p>
        </w:tc>
      </w:tr>
    </w:tbl>
    <w:p w14:paraId="69A97950" w14:textId="77777777" w:rsidR="00123578" w:rsidRDefault="00123578" w:rsidP="00001231"/>
    <w:p w14:paraId="75380E54" w14:textId="4BD4B74B" w:rsidR="00001231" w:rsidRDefault="00001231" w:rsidP="00D9150E">
      <w:pPr>
        <w:pStyle w:val="BodyText"/>
      </w:pPr>
      <w:r>
        <w:t xml:space="preserve">The Galileo </w:t>
      </w:r>
      <w:r w:rsidR="004A3F09">
        <w:rPr>
          <w:rFonts w:asciiTheme="minorHAnsi" w:hAnsiTheme="minorHAnsi"/>
          <w:color w:val="000000"/>
        </w:rPr>
        <w:t>MSI function</w:t>
      </w:r>
      <w:r w:rsidR="004A3F09" w:rsidRPr="00D9150E">
        <w:rPr>
          <w:rFonts w:asciiTheme="minorHAnsi" w:hAnsiTheme="minorHAnsi"/>
          <w:color w:val="000000"/>
        </w:rPr>
        <w:t xml:space="preserve"> </w:t>
      </w:r>
      <w:r>
        <w:t>will be continuously monitoring the performance of the Galileo Services in order to ident</w:t>
      </w:r>
      <w:r w:rsidR="00123578">
        <w:t xml:space="preserve">ify any performance degradation to be notified to the maritime community. </w:t>
      </w:r>
    </w:p>
    <w:p w14:paraId="028A932C" w14:textId="77777777" w:rsidR="00001231" w:rsidRPr="00D9150E" w:rsidRDefault="00001231" w:rsidP="00D9150E">
      <w:pPr>
        <w:pStyle w:val="AnnexHeading1"/>
        <w:numPr>
          <w:ilvl w:val="0"/>
          <w:numId w:val="62"/>
        </w:numPr>
        <w:rPr>
          <w:color w:val="4F81BD" w:themeColor="accent1"/>
        </w:rPr>
      </w:pPr>
      <w:bookmarkStart w:id="12" w:name="_Toc12284567"/>
      <w:bookmarkStart w:id="13" w:name="_Toc12365020"/>
      <w:bookmarkStart w:id="14" w:name="_Toc12377381"/>
      <w:bookmarkStart w:id="15" w:name="_Toc12377474"/>
      <w:bookmarkStart w:id="16" w:name="_Toc12455171"/>
      <w:bookmarkStart w:id="17" w:name="_Toc12456463"/>
      <w:bookmarkStart w:id="18" w:name="_Toc12461117"/>
      <w:bookmarkStart w:id="19" w:name="_Toc40452516"/>
      <w:bookmarkEnd w:id="12"/>
      <w:bookmarkEnd w:id="13"/>
      <w:bookmarkEnd w:id="14"/>
      <w:bookmarkEnd w:id="15"/>
      <w:bookmarkEnd w:id="16"/>
      <w:bookmarkEnd w:id="17"/>
      <w:bookmarkEnd w:id="18"/>
      <w:r w:rsidRPr="00D9150E">
        <w:rPr>
          <w:rFonts w:ascii="Calibri" w:hAnsi="Calibri"/>
          <w:color w:val="4F81BD" w:themeColor="accent1"/>
        </w:rPr>
        <w:t>Galileo Safety Information Service</w:t>
      </w:r>
      <w:bookmarkEnd w:id="19"/>
    </w:p>
    <w:p w14:paraId="193CACC5" w14:textId="5112E3A6" w:rsidR="00001231" w:rsidRDefault="00001231" w:rsidP="00D9150E">
      <w:pPr>
        <w:pStyle w:val="BodyText"/>
      </w:pPr>
      <w:r>
        <w:t xml:space="preserve">The </w:t>
      </w:r>
      <w:r w:rsidR="00731137">
        <w:t xml:space="preserve">diagram included below </w:t>
      </w:r>
      <w:r>
        <w:t xml:space="preserve">presents a proposal for the </w:t>
      </w:r>
      <w:r w:rsidR="00731137">
        <w:t>generation and provision</w:t>
      </w:r>
      <w:r>
        <w:t xml:space="preserve"> Galileo MSI </w:t>
      </w:r>
      <w:r w:rsidR="00731137">
        <w:t xml:space="preserve">(the Galileo MSI </w:t>
      </w:r>
      <w:r>
        <w:t>Service</w:t>
      </w:r>
      <w:r w:rsidR="00731137">
        <w:t>)</w:t>
      </w:r>
      <w:r>
        <w:t>:</w:t>
      </w:r>
    </w:p>
    <w:p w14:paraId="4C325D77" w14:textId="77777777" w:rsidR="00731137" w:rsidRDefault="00731137" w:rsidP="00D9150E">
      <w:pPr>
        <w:pStyle w:val="Figure"/>
      </w:pPr>
      <w:r>
        <w:t xml:space="preserve">Galileo MSI Generation and Provision Scheme </w:t>
      </w:r>
    </w:p>
    <w:p w14:paraId="430CE261" w14:textId="1674292D" w:rsidR="00731137" w:rsidRDefault="00822A6E" w:rsidP="00731137">
      <w:pPr>
        <w:jc w:val="center"/>
        <w:rPr>
          <w:lang w:val="es-ES"/>
        </w:rPr>
      </w:pPr>
      <w:r>
        <w:rPr>
          <w:noProof/>
          <w:lang w:val="es-ES" w:eastAsia="es-ES"/>
        </w:rPr>
        <w:drawing>
          <wp:inline distT="0" distB="0" distL="0" distR="0" wp14:anchorId="508FA23F" wp14:editId="209107AC">
            <wp:extent cx="4853520" cy="3780000"/>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53520" cy="3780000"/>
                    </a:xfrm>
                    <a:prstGeom prst="rect">
                      <a:avLst/>
                    </a:prstGeom>
                    <a:noFill/>
                    <a:ln>
                      <a:noFill/>
                    </a:ln>
                  </pic:spPr>
                </pic:pic>
              </a:graphicData>
            </a:graphic>
          </wp:inline>
        </w:drawing>
      </w:r>
    </w:p>
    <w:p w14:paraId="5F7BC485" w14:textId="77777777" w:rsidR="00731137" w:rsidRPr="00D9150E" w:rsidRDefault="00731137" w:rsidP="00D9150E">
      <w:pPr>
        <w:pStyle w:val="BodyText"/>
        <w:rPr>
          <w:rFonts w:asciiTheme="minorHAnsi" w:hAnsiTheme="minorHAnsi"/>
        </w:rPr>
      </w:pPr>
    </w:p>
    <w:p w14:paraId="47BCB45F" w14:textId="6E796E00" w:rsidR="00001231" w:rsidRPr="00D9150E" w:rsidRDefault="00001231" w:rsidP="00001231">
      <w:pPr>
        <w:pStyle w:val="ListParagraph"/>
        <w:numPr>
          <w:ilvl w:val="0"/>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 xml:space="preserve">The Galileo </w:t>
      </w:r>
      <w:r w:rsidR="004A3F09">
        <w:rPr>
          <w:rFonts w:asciiTheme="minorHAnsi" w:hAnsiTheme="minorHAnsi"/>
          <w:color w:val="000000"/>
        </w:rPr>
        <w:t>MSI function</w:t>
      </w:r>
      <w:r w:rsidRPr="00D9150E">
        <w:rPr>
          <w:rFonts w:asciiTheme="minorHAnsi" w:hAnsiTheme="minorHAnsi"/>
          <w:color w:val="000000"/>
        </w:rPr>
        <w:t xml:space="preserve"> </w:t>
      </w:r>
      <w:r w:rsidR="00F477DE">
        <w:rPr>
          <w:rFonts w:asciiTheme="minorHAnsi" w:hAnsiTheme="minorHAnsi"/>
          <w:color w:val="000000"/>
        </w:rPr>
        <w:t>shall</w:t>
      </w:r>
      <w:r w:rsidR="00F477DE" w:rsidRPr="00D9150E">
        <w:rPr>
          <w:rFonts w:asciiTheme="minorHAnsi" w:hAnsiTheme="minorHAnsi"/>
          <w:color w:val="000000"/>
        </w:rPr>
        <w:t xml:space="preserve"> </w:t>
      </w:r>
      <w:r w:rsidRPr="00D9150E">
        <w:rPr>
          <w:rFonts w:asciiTheme="minorHAnsi" w:hAnsiTheme="minorHAnsi"/>
          <w:color w:val="000000"/>
        </w:rPr>
        <w:t>monitor the Galileo performance wrt IMO Resolution A.1046 operational requirements.</w:t>
      </w:r>
    </w:p>
    <w:p w14:paraId="2D6070D6" w14:textId="1FE7EBC0" w:rsidR="00001231" w:rsidRPr="00D9150E" w:rsidRDefault="00001231" w:rsidP="00001231">
      <w:pPr>
        <w:pStyle w:val="ListParagraph"/>
        <w:numPr>
          <w:ilvl w:val="0"/>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 xml:space="preserve">The Galileo </w:t>
      </w:r>
      <w:r w:rsidR="004A3F09">
        <w:rPr>
          <w:rFonts w:asciiTheme="minorHAnsi" w:hAnsiTheme="minorHAnsi"/>
          <w:color w:val="000000"/>
        </w:rPr>
        <w:t>MSI function</w:t>
      </w:r>
      <w:r w:rsidR="004A3F09" w:rsidRPr="00D9150E">
        <w:rPr>
          <w:rFonts w:asciiTheme="minorHAnsi" w:hAnsiTheme="minorHAnsi"/>
          <w:color w:val="000000"/>
        </w:rPr>
        <w:t xml:space="preserve"> </w:t>
      </w:r>
      <w:r w:rsidR="00F477DE">
        <w:rPr>
          <w:rFonts w:asciiTheme="minorHAnsi" w:hAnsiTheme="minorHAnsi"/>
          <w:color w:val="000000"/>
        </w:rPr>
        <w:t>shall</w:t>
      </w:r>
      <w:r w:rsidRPr="00D9150E">
        <w:rPr>
          <w:rFonts w:asciiTheme="minorHAnsi" w:hAnsiTheme="minorHAnsi"/>
          <w:color w:val="000000"/>
        </w:rPr>
        <w:t xml:space="preserve"> communicate any degradation of the committed performance of a duration of 2 hours or more to the NAVAREA/Sub-Area Coordinators and National Coordinators. </w:t>
      </w:r>
    </w:p>
    <w:p w14:paraId="67D590CA" w14:textId="2DB20BE9" w:rsidR="00001231" w:rsidRPr="00D9150E" w:rsidRDefault="00001231" w:rsidP="00D9150E">
      <w:pPr>
        <w:pStyle w:val="BodyText"/>
        <w:ind w:firstLine="720"/>
      </w:pPr>
      <w:r w:rsidRPr="00D9150E">
        <w:t>The scheduling proposed to be followed is in line with th</w:t>
      </w:r>
      <w:r w:rsidRPr="004D482B">
        <w:t>e Galileo OS SDD (section 3.6.1</w:t>
      </w:r>
      <w:r w:rsidRPr="002A1305">
        <w:t>)</w:t>
      </w:r>
      <w:r w:rsidR="004D482B" w:rsidRPr="002A1305">
        <w:fldChar w:fldCharType="begin"/>
      </w:r>
      <w:r w:rsidR="004D482B" w:rsidRPr="002A1305">
        <w:instrText xml:space="preserve"> REF _Ref49447390 \r \h  \* MERGEFORMAT </w:instrText>
      </w:r>
      <w:r w:rsidR="004D482B" w:rsidRPr="002A1305">
        <w:fldChar w:fldCharType="separate"/>
      </w:r>
      <w:r w:rsidR="004D482B" w:rsidRPr="002A1305">
        <w:t>[6]</w:t>
      </w:r>
      <w:r w:rsidR="004D482B" w:rsidRPr="002A1305">
        <w:fldChar w:fldCharType="end"/>
      </w:r>
      <w:r w:rsidRPr="002A1305">
        <w:t>.</w:t>
      </w:r>
    </w:p>
    <w:p w14:paraId="0720876D" w14:textId="3C41DF84" w:rsidR="00001231" w:rsidRPr="00D9150E" w:rsidRDefault="00001231" w:rsidP="00D9150E">
      <w:pPr>
        <w:pStyle w:val="ListParagraph"/>
        <w:numPr>
          <w:ilvl w:val="1"/>
          <w:numId w:val="52"/>
        </w:numPr>
        <w:autoSpaceDE w:val="0"/>
        <w:autoSpaceDN w:val="0"/>
        <w:adjustRightInd w:val="0"/>
        <w:spacing w:before="100" w:beforeAutospacing="1" w:after="100" w:afterAutospacing="1"/>
        <w:ind w:hanging="357"/>
        <w:contextualSpacing w:val="0"/>
        <w:jc w:val="both"/>
        <w:rPr>
          <w:rFonts w:asciiTheme="minorHAnsi" w:hAnsiTheme="minorHAnsi"/>
          <w:color w:val="000000"/>
        </w:rPr>
      </w:pPr>
      <w:r w:rsidRPr="00D9150E">
        <w:rPr>
          <w:rFonts w:asciiTheme="minorHAnsi" w:hAnsiTheme="minorHAnsi"/>
          <w:color w:val="000000"/>
        </w:rPr>
        <w:t xml:space="preserve">For </w:t>
      </w:r>
      <w:r w:rsidRPr="00D9150E">
        <w:rPr>
          <w:rFonts w:asciiTheme="minorHAnsi" w:hAnsiTheme="minorHAnsi"/>
          <w:b/>
          <w:color w:val="000000"/>
          <w:u w:val="single"/>
        </w:rPr>
        <w:t>scheduled events</w:t>
      </w:r>
      <w:r w:rsidRPr="00D9150E">
        <w:rPr>
          <w:rFonts w:asciiTheme="minorHAnsi" w:hAnsiTheme="minorHAnsi"/>
          <w:color w:val="000000"/>
        </w:rPr>
        <w:t xml:space="preserve"> affecting the service, the event </w:t>
      </w:r>
      <w:r w:rsidR="00F477DE">
        <w:rPr>
          <w:rFonts w:asciiTheme="minorHAnsi" w:hAnsiTheme="minorHAnsi"/>
          <w:color w:val="000000"/>
        </w:rPr>
        <w:t xml:space="preserve">shall </w:t>
      </w:r>
      <w:r w:rsidRPr="00D9150E">
        <w:rPr>
          <w:rFonts w:asciiTheme="minorHAnsi" w:hAnsiTheme="minorHAnsi"/>
          <w:color w:val="000000"/>
        </w:rPr>
        <w:t>be communicated with at least 24 hours before the service is affected</w:t>
      </w:r>
    </w:p>
    <w:p w14:paraId="1BC79051" w14:textId="4E08D229" w:rsidR="00001231" w:rsidRPr="004D482B" w:rsidRDefault="00001231" w:rsidP="00D9150E">
      <w:pPr>
        <w:pStyle w:val="ListParagraph"/>
        <w:autoSpaceDE w:val="0"/>
        <w:autoSpaceDN w:val="0"/>
        <w:adjustRightInd w:val="0"/>
        <w:spacing w:before="100" w:beforeAutospacing="1" w:after="100" w:afterAutospacing="1"/>
        <w:ind w:left="1440"/>
        <w:contextualSpacing w:val="0"/>
        <w:jc w:val="both"/>
        <w:rPr>
          <w:rFonts w:asciiTheme="minorHAnsi" w:hAnsiTheme="minorHAnsi"/>
          <w:color w:val="000000"/>
        </w:rPr>
      </w:pPr>
      <w:r w:rsidRPr="00D9150E">
        <w:rPr>
          <w:rFonts w:asciiTheme="minorHAnsi" w:hAnsiTheme="minorHAnsi"/>
          <w:color w:val="000000"/>
        </w:rPr>
        <w:t xml:space="preserve">According to </w:t>
      </w:r>
      <w:r w:rsidRPr="004D482B">
        <w:rPr>
          <w:rFonts w:asciiTheme="minorHAnsi" w:hAnsiTheme="minorHAnsi"/>
          <w:color w:val="000000"/>
        </w:rPr>
        <w:t>the Manual on MSI</w:t>
      </w:r>
      <w:r w:rsidR="004D482B" w:rsidRPr="004D482B">
        <w:rPr>
          <w:rFonts w:asciiTheme="minorHAnsi" w:hAnsiTheme="minorHAnsi"/>
          <w:color w:val="000000"/>
        </w:rPr>
        <w:t xml:space="preserve"> </w:t>
      </w:r>
      <w:r w:rsidR="004D482B" w:rsidRPr="004D482B">
        <w:rPr>
          <w:rFonts w:asciiTheme="minorHAnsi" w:hAnsiTheme="minorHAnsi"/>
          <w:color w:val="000000"/>
        </w:rPr>
        <w:fldChar w:fldCharType="begin"/>
      </w:r>
      <w:r w:rsidR="004D482B" w:rsidRPr="004D482B">
        <w:rPr>
          <w:rFonts w:asciiTheme="minorHAnsi" w:hAnsiTheme="minorHAnsi"/>
          <w:color w:val="000000"/>
        </w:rPr>
        <w:instrText xml:space="preserve"> REF _Ref49447411 \r \h </w:instrText>
      </w:r>
      <w:r w:rsidR="004D482B">
        <w:rPr>
          <w:rFonts w:asciiTheme="minorHAnsi" w:hAnsiTheme="minorHAnsi"/>
          <w:color w:val="000000"/>
        </w:rPr>
        <w:instrText xml:space="preserve"> \* MERGEFORMAT </w:instrText>
      </w:r>
      <w:r w:rsidR="004D482B" w:rsidRPr="004D482B">
        <w:rPr>
          <w:rFonts w:asciiTheme="minorHAnsi" w:hAnsiTheme="minorHAnsi"/>
          <w:color w:val="000000"/>
        </w:rPr>
      </w:r>
      <w:r w:rsidR="004D482B" w:rsidRPr="004D482B">
        <w:rPr>
          <w:rFonts w:asciiTheme="minorHAnsi" w:hAnsiTheme="minorHAnsi"/>
          <w:color w:val="000000"/>
        </w:rPr>
        <w:fldChar w:fldCharType="separate"/>
      </w:r>
      <w:r w:rsidR="004D482B" w:rsidRPr="004D482B">
        <w:rPr>
          <w:rFonts w:asciiTheme="minorHAnsi" w:hAnsiTheme="minorHAnsi"/>
          <w:color w:val="000000"/>
        </w:rPr>
        <w:t>[1]</w:t>
      </w:r>
      <w:r w:rsidR="004D482B" w:rsidRPr="004D482B">
        <w:rPr>
          <w:rFonts w:asciiTheme="minorHAnsi" w:hAnsiTheme="minorHAnsi"/>
          <w:color w:val="000000"/>
        </w:rPr>
        <w:fldChar w:fldCharType="end"/>
      </w:r>
      <w:r w:rsidRPr="004D482B">
        <w:rPr>
          <w:rFonts w:asciiTheme="minorHAnsi" w:hAnsiTheme="minorHAnsi"/>
          <w:color w:val="000000"/>
        </w:rPr>
        <w:t xml:space="preserve">, whenever possible, warnings concerning scheduled events, should be originated </w:t>
      </w:r>
      <w:r w:rsidRPr="002A1305">
        <w:rPr>
          <w:rFonts w:asciiTheme="minorHAnsi" w:hAnsiTheme="minorHAnsi"/>
          <w:b/>
          <w:color w:val="000000"/>
        </w:rPr>
        <w:t>not less than five days in advance</w:t>
      </w:r>
      <w:r w:rsidRPr="004D482B">
        <w:rPr>
          <w:rFonts w:asciiTheme="minorHAnsi" w:hAnsiTheme="minorHAnsi"/>
          <w:color w:val="000000"/>
        </w:rPr>
        <w:t>.</w:t>
      </w:r>
      <w:r w:rsidR="009B02F7" w:rsidRPr="004D482B">
        <w:rPr>
          <w:rFonts w:asciiTheme="minorHAnsi" w:hAnsiTheme="minorHAnsi"/>
          <w:color w:val="000000"/>
        </w:rPr>
        <w:t xml:space="preserve"> </w:t>
      </w:r>
      <w:r w:rsidRPr="004D482B">
        <w:rPr>
          <w:rFonts w:asciiTheme="minorHAnsi" w:hAnsiTheme="minorHAnsi"/>
          <w:color w:val="000000"/>
        </w:rPr>
        <w:t>However, given the operational procedures in place, the scheduled events will be communicated with at least 24 hours in advance.</w:t>
      </w:r>
    </w:p>
    <w:p w14:paraId="51F82135" w14:textId="054E7095" w:rsidR="00001231" w:rsidRPr="004D482B" w:rsidRDefault="00001231" w:rsidP="00001231">
      <w:pPr>
        <w:pStyle w:val="ListParagraph"/>
        <w:numPr>
          <w:ilvl w:val="1"/>
          <w:numId w:val="52"/>
        </w:numPr>
        <w:autoSpaceDE w:val="0"/>
        <w:autoSpaceDN w:val="0"/>
        <w:adjustRightInd w:val="0"/>
        <w:spacing w:before="100" w:beforeAutospacing="1" w:after="100" w:afterAutospacing="1"/>
        <w:ind w:hanging="357"/>
        <w:contextualSpacing w:val="0"/>
        <w:jc w:val="both"/>
        <w:rPr>
          <w:rFonts w:asciiTheme="minorHAnsi" w:hAnsiTheme="minorHAnsi"/>
          <w:color w:val="000000"/>
        </w:rPr>
      </w:pPr>
      <w:r w:rsidRPr="004D482B">
        <w:rPr>
          <w:rFonts w:asciiTheme="minorHAnsi" w:hAnsiTheme="minorHAnsi"/>
          <w:color w:val="000000"/>
        </w:rPr>
        <w:t xml:space="preserve">For </w:t>
      </w:r>
      <w:r w:rsidRPr="004D482B">
        <w:rPr>
          <w:rFonts w:asciiTheme="minorHAnsi" w:hAnsiTheme="minorHAnsi"/>
          <w:b/>
          <w:color w:val="000000"/>
          <w:u w:val="single"/>
        </w:rPr>
        <w:t>unscheduled outages</w:t>
      </w:r>
      <w:r w:rsidRPr="004D482B">
        <w:rPr>
          <w:rFonts w:asciiTheme="minorHAnsi" w:hAnsiTheme="minorHAnsi"/>
          <w:color w:val="000000"/>
        </w:rPr>
        <w:t xml:space="preserve"> or events affecting the service, they </w:t>
      </w:r>
      <w:r w:rsidR="00F477DE">
        <w:rPr>
          <w:rFonts w:asciiTheme="minorHAnsi" w:hAnsiTheme="minorHAnsi"/>
          <w:color w:val="000000"/>
        </w:rPr>
        <w:t>shall</w:t>
      </w:r>
      <w:r w:rsidR="00F477DE" w:rsidRPr="004D482B">
        <w:rPr>
          <w:rFonts w:asciiTheme="minorHAnsi" w:hAnsiTheme="minorHAnsi"/>
          <w:color w:val="000000"/>
        </w:rPr>
        <w:t xml:space="preserve"> </w:t>
      </w:r>
      <w:r w:rsidRPr="004D482B">
        <w:rPr>
          <w:rFonts w:asciiTheme="minorHAnsi" w:hAnsiTheme="minorHAnsi"/>
          <w:color w:val="000000"/>
        </w:rPr>
        <w:t>be notified in less than 72 hours after the event affecting the service is detected.</w:t>
      </w:r>
    </w:p>
    <w:p w14:paraId="371EC76B" w14:textId="586B51CA" w:rsidR="00001231" w:rsidRPr="00D9150E" w:rsidRDefault="00001231" w:rsidP="00D9150E">
      <w:pPr>
        <w:pStyle w:val="ListParagraph"/>
        <w:autoSpaceDE w:val="0"/>
        <w:autoSpaceDN w:val="0"/>
        <w:adjustRightInd w:val="0"/>
        <w:spacing w:before="100" w:beforeAutospacing="1" w:after="100" w:afterAutospacing="1"/>
        <w:ind w:left="1440"/>
        <w:contextualSpacing w:val="0"/>
        <w:jc w:val="both"/>
        <w:rPr>
          <w:rFonts w:asciiTheme="minorHAnsi" w:hAnsiTheme="minorHAnsi"/>
          <w:color w:val="000000"/>
        </w:rPr>
      </w:pPr>
      <w:r w:rsidRPr="004D482B">
        <w:rPr>
          <w:rFonts w:asciiTheme="minorHAnsi" w:hAnsiTheme="minorHAnsi"/>
          <w:color w:val="000000"/>
        </w:rPr>
        <w:t xml:space="preserve">The Manual on MSI </w:t>
      </w:r>
      <w:r w:rsidR="004D482B" w:rsidRPr="004D482B">
        <w:rPr>
          <w:rFonts w:asciiTheme="minorHAnsi" w:hAnsiTheme="minorHAnsi"/>
          <w:color w:val="000000"/>
        </w:rPr>
        <w:fldChar w:fldCharType="begin"/>
      </w:r>
      <w:r w:rsidR="004D482B" w:rsidRPr="004D482B">
        <w:rPr>
          <w:rFonts w:asciiTheme="minorHAnsi" w:hAnsiTheme="minorHAnsi"/>
          <w:color w:val="000000"/>
        </w:rPr>
        <w:instrText xml:space="preserve"> REF _Ref49447411 \r \h </w:instrText>
      </w:r>
      <w:r w:rsidR="004D482B">
        <w:rPr>
          <w:rFonts w:asciiTheme="minorHAnsi" w:hAnsiTheme="minorHAnsi"/>
          <w:color w:val="000000"/>
        </w:rPr>
        <w:instrText xml:space="preserve"> \* MERGEFORMAT </w:instrText>
      </w:r>
      <w:r w:rsidR="004D482B" w:rsidRPr="004D482B">
        <w:rPr>
          <w:rFonts w:asciiTheme="minorHAnsi" w:hAnsiTheme="minorHAnsi"/>
          <w:color w:val="000000"/>
        </w:rPr>
      </w:r>
      <w:r w:rsidR="004D482B" w:rsidRPr="004D482B">
        <w:rPr>
          <w:rFonts w:asciiTheme="minorHAnsi" w:hAnsiTheme="minorHAnsi"/>
          <w:color w:val="000000"/>
        </w:rPr>
        <w:fldChar w:fldCharType="separate"/>
      </w:r>
      <w:r w:rsidR="004D482B" w:rsidRPr="004D482B">
        <w:rPr>
          <w:rFonts w:asciiTheme="minorHAnsi" w:hAnsiTheme="minorHAnsi"/>
          <w:color w:val="000000"/>
        </w:rPr>
        <w:t>[1]</w:t>
      </w:r>
      <w:r w:rsidR="004D482B" w:rsidRPr="004D482B">
        <w:rPr>
          <w:rFonts w:asciiTheme="minorHAnsi" w:hAnsiTheme="minorHAnsi"/>
          <w:color w:val="000000"/>
        </w:rPr>
        <w:fldChar w:fldCharType="end"/>
      </w:r>
      <w:r w:rsidRPr="004D482B">
        <w:rPr>
          <w:rFonts w:asciiTheme="minorHAnsi" w:hAnsiTheme="minorHAnsi"/>
          <w:color w:val="000000"/>
        </w:rPr>
        <w:t>does not</w:t>
      </w:r>
      <w:r w:rsidRPr="00D9150E">
        <w:rPr>
          <w:rFonts w:asciiTheme="minorHAnsi" w:hAnsiTheme="minorHAnsi"/>
          <w:color w:val="000000"/>
        </w:rPr>
        <w:t xml:space="preserve"> establish specific timing requirements for the notification of unscheduled events. Navigational warnings should be broadcast as soon as possible or as dictated by the nature and timing of the event. Thus, these should be communicated as soon as possible, and given the internal operational procedures, this </w:t>
      </w:r>
      <w:r w:rsidR="00F477DE">
        <w:rPr>
          <w:rFonts w:asciiTheme="minorHAnsi" w:hAnsiTheme="minorHAnsi"/>
          <w:color w:val="000000"/>
        </w:rPr>
        <w:t>shall</w:t>
      </w:r>
      <w:r w:rsidR="00F477DE" w:rsidRPr="00D9150E">
        <w:rPr>
          <w:rFonts w:asciiTheme="minorHAnsi" w:hAnsiTheme="minorHAnsi"/>
          <w:color w:val="000000"/>
        </w:rPr>
        <w:t xml:space="preserve"> </w:t>
      </w:r>
      <w:r w:rsidRPr="00D9150E">
        <w:rPr>
          <w:rFonts w:asciiTheme="minorHAnsi" w:hAnsiTheme="minorHAnsi"/>
          <w:color w:val="000000"/>
        </w:rPr>
        <w:t>be done in less than 72 hours (typically in less than 24 hours since the event is detected).</w:t>
      </w:r>
    </w:p>
    <w:p w14:paraId="32D5338E" w14:textId="252F0241" w:rsidR="00001231" w:rsidRPr="00D9150E" w:rsidRDefault="00001231" w:rsidP="00D9150E">
      <w:pPr>
        <w:pStyle w:val="ListParagraph"/>
        <w:numPr>
          <w:ilvl w:val="0"/>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 xml:space="preserve">A standard mail will be sent containing all the relevant information regarding the Galileo event (additional security and authentication mechanisms are not necessary, but might be implemented in the future). This mail </w:t>
      </w:r>
      <w:r w:rsidR="00086FCE">
        <w:rPr>
          <w:rFonts w:asciiTheme="minorHAnsi" w:hAnsiTheme="minorHAnsi"/>
          <w:color w:val="000000"/>
        </w:rPr>
        <w:t>shall</w:t>
      </w:r>
      <w:r w:rsidR="00086FCE" w:rsidRPr="00D9150E">
        <w:rPr>
          <w:rFonts w:asciiTheme="minorHAnsi" w:hAnsiTheme="minorHAnsi"/>
          <w:color w:val="000000"/>
        </w:rPr>
        <w:t xml:space="preserve"> </w:t>
      </w:r>
      <w:r w:rsidRPr="00D9150E">
        <w:rPr>
          <w:rFonts w:asciiTheme="minorHAnsi" w:hAnsiTheme="minorHAnsi"/>
          <w:color w:val="000000"/>
        </w:rPr>
        <w:t xml:space="preserve">be sent to all the NAVAREA/Sub-Area Coordinators and National Coordinators, that </w:t>
      </w:r>
      <w:r w:rsidR="00086FCE">
        <w:rPr>
          <w:rFonts w:asciiTheme="minorHAnsi" w:hAnsiTheme="minorHAnsi"/>
          <w:color w:val="000000"/>
        </w:rPr>
        <w:t>would</w:t>
      </w:r>
      <w:r w:rsidR="00086FCE" w:rsidRPr="00D9150E">
        <w:rPr>
          <w:rFonts w:asciiTheme="minorHAnsi" w:hAnsiTheme="minorHAnsi"/>
          <w:color w:val="000000"/>
        </w:rPr>
        <w:t xml:space="preserve"> </w:t>
      </w:r>
      <w:r w:rsidRPr="00D9150E">
        <w:rPr>
          <w:rFonts w:asciiTheme="minorHAnsi" w:hAnsiTheme="minorHAnsi"/>
          <w:color w:val="000000"/>
        </w:rPr>
        <w:t xml:space="preserve">acknowledge the reception within 30 minutes. In case of lack of acknowledgment, a second mail </w:t>
      </w:r>
      <w:r w:rsidR="00086FCE">
        <w:rPr>
          <w:rFonts w:asciiTheme="minorHAnsi" w:hAnsiTheme="minorHAnsi"/>
          <w:color w:val="000000"/>
        </w:rPr>
        <w:t>shall</w:t>
      </w:r>
      <w:r w:rsidR="00086FCE" w:rsidRPr="00D9150E">
        <w:rPr>
          <w:rFonts w:asciiTheme="minorHAnsi" w:hAnsiTheme="minorHAnsi"/>
          <w:color w:val="000000"/>
        </w:rPr>
        <w:t xml:space="preserve"> </w:t>
      </w:r>
      <w:r w:rsidRPr="00D9150E">
        <w:rPr>
          <w:rFonts w:asciiTheme="minorHAnsi" w:hAnsiTheme="minorHAnsi"/>
          <w:color w:val="000000"/>
        </w:rPr>
        <w:t xml:space="preserve">be sent to the corresponding Coordinator, including the responsible NAVAREA Coordinator in copy, which will take the appropriate actions. </w:t>
      </w:r>
    </w:p>
    <w:p w14:paraId="3827A6B4" w14:textId="3724EE47" w:rsidR="00001231" w:rsidRPr="00D9150E" w:rsidRDefault="00001231" w:rsidP="00001231">
      <w:pPr>
        <w:pStyle w:val="ListParagraph"/>
        <w:numPr>
          <w:ilvl w:val="0"/>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 xml:space="preserve">The NAVAREA/Sub-Area and National Coordinators, </w:t>
      </w:r>
      <w:r w:rsidR="00086FCE">
        <w:rPr>
          <w:rFonts w:asciiTheme="minorHAnsi" w:hAnsiTheme="minorHAnsi"/>
          <w:color w:val="000000"/>
        </w:rPr>
        <w:t>would</w:t>
      </w:r>
      <w:r w:rsidR="00086FCE" w:rsidRPr="00D9150E">
        <w:rPr>
          <w:rFonts w:asciiTheme="minorHAnsi" w:hAnsiTheme="minorHAnsi"/>
          <w:color w:val="000000"/>
        </w:rPr>
        <w:t xml:space="preserve"> </w:t>
      </w:r>
      <w:r w:rsidRPr="00D9150E">
        <w:rPr>
          <w:rFonts w:asciiTheme="minorHAnsi" w:hAnsiTheme="minorHAnsi"/>
          <w:color w:val="000000"/>
        </w:rPr>
        <w:t>analyse if the area under their responsibility is impacted. If so, the will issue the corresponding NAVAREA/Coastal warning.</w:t>
      </w:r>
    </w:p>
    <w:p w14:paraId="6433123E" w14:textId="3B433046" w:rsidR="00001231" w:rsidRPr="00D9150E" w:rsidRDefault="00001231" w:rsidP="00001231">
      <w:pPr>
        <w:pStyle w:val="ListParagraph"/>
        <w:numPr>
          <w:ilvl w:val="1"/>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 xml:space="preserve">In case of permanent information, if needed, the NAVAREA Coordinator </w:t>
      </w:r>
      <w:r w:rsidR="00086FCE">
        <w:rPr>
          <w:rFonts w:asciiTheme="minorHAnsi" w:hAnsiTheme="minorHAnsi"/>
          <w:color w:val="000000"/>
        </w:rPr>
        <w:t>would</w:t>
      </w:r>
      <w:r w:rsidR="00086FCE" w:rsidRPr="00D9150E">
        <w:rPr>
          <w:rFonts w:asciiTheme="minorHAnsi" w:hAnsiTheme="minorHAnsi"/>
          <w:color w:val="000000"/>
        </w:rPr>
        <w:t xml:space="preserve"> </w:t>
      </w:r>
      <w:r w:rsidRPr="00D9150E">
        <w:rPr>
          <w:rFonts w:asciiTheme="minorHAnsi" w:hAnsiTheme="minorHAnsi"/>
          <w:color w:val="000000"/>
        </w:rPr>
        <w:t>forward the information to the corresponding Authority responsible for the generation and provision of NtM</w:t>
      </w:r>
    </w:p>
    <w:p w14:paraId="164FBFF9" w14:textId="6EAD6E04" w:rsidR="00001231" w:rsidRPr="00D9150E" w:rsidRDefault="00001231" w:rsidP="00001231">
      <w:pPr>
        <w:pStyle w:val="ListParagraph"/>
        <w:numPr>
          <w:ilvl w:val="1"/>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 xml:space="preserve">In case of more local information, if needed, the National Coordinator </w:t>
      </w:r>
      <w:r w:rsidR="00086FCE">
        <w:rPr>
          <w:rFonts w:asciiTheme="minorHAnsi" w:hAnsiTheme="minorHAnsi"/>
          <w:color w:val="000000"/>
        </w:rPr>
        <w:t>would</w:t>
      </w:r>
      <w:r w:rsidR="00086FCE" w:rsidRPr="00D9150E">
        <w:rPr>
          <w:rFonts w:asciiTheme="minorHAnsi" w:hAnsiTheme="minorHAnsi"/>
          <w:color w:val="000000"/>
        </w:rPr>
        <w:t xml:space="preserve"> </w:t>
      </w:r>
      <w:r w:rsidRPr="00D9150E">
        <w:rPr>
          <w:rFonts w:asciiTheme="minorHAnsi" w:hAnsiTheme="minorHAnsi"/>
          <w:color w:val="000000"/>
        </w:rPr>
        <w:t xml:space="preserve">forward the information to the corresponding Local Authority that </w:t>
      </w:r>
      <w:r w:rsidR="00086FCE">
        <w:rPr>
          <w:rFonts w:asciiTheme="minorHAnsi" w:hAnsiTheme="minorHAnsi"/>
          <w:color w:val="000000"/>
        </w:rPr>
        <w:t>would</w:t>
      </w:r>
      <w:r w:rsidR="00086FCE" w:rsidRPr="00D9150E">
        <w:rPr>
          <w:rFonts w:asciiTheme="minorHAnsi" w:hAnsiTheme="minorHAnsi"/>
          <w:color w:val="000000"/>
        </w:rPr>
        <w:t xml:space="preserve"> </w:t>
      </w:r>
      <w:r w:rsidRPr="00D9150E">
        <w:rPr>
          <w:rFonts w:asciiTheme="minorHAnsi" w:hAnsiTheme="minorHAnsi"/>
          <w:color w:val="000000"/>
        </w:rPr>
        <w:t>generate and broadcast the corresponding Local warning</w:t>
      </w:r>
    </w:p>
    <w:p w14:paraId="0C847912" w14:textId="2B717D95" w:rsidR="00001231" w:rsidRPr="00D9150E" w:rsidRDefault="00001231" w:rsidP="00001231">
      <w:pPr>
        <w:pStyle w:val="ListParagraph"/>
        <w:numPr>
          <w:ilvl w:val="0"/>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 xml:space="preserve">If the Coordinators detect any errors in the information provided through mail, they </w:t>
      </w:r>
      <w:r w:rsidR="005E3C32" w:rsidRPr="00D9150E">
        <w:rPr>
          <w:rFonts w:asciiTheme="minorHAnsi" w:hAnsiTheme="minorHAnsi"/>
          <w:color w:val="000000"/>
        </w:rPr>
        <w:t>w</w:t>
      </w:r>
      <w:r w:rsidR="005E3C32">
        <w:rPr>
          <w:rFonts w:asciiTheme="minorHAnsi" w:hAnsiTheme="minorHAnsi"/>
          <w:color w:val="000000"/>
        </w:rPr>
        <w:t>ould</w:t>
      </w:r>
      <w:r w:rsidR="005E3C32" w:rsidRPr="00D9150E">
        <w:rPr>
          <w:rFonts w:asciiTheme="minorHAnsi" w:hAnsiTheme="minorHAnsi"/>
          <w:color w:val="000000"/>
        </w:rPr>
        <w:t xml:space="preserve"> </w:t>
      </w:r>
      <w:r w:rsidRPr="00D9150E">
        <w:rPr>
          <w:rFonts w:asciiTheme="minorHAnsi" w:hAnsiTheme="minorHAnsi"/>
          <w:color w:val="000000"/>
        </w:rPr>
        <w:t xml:space="preserve">either ask for clarifications or decide to issue a Navigational Warning based on their best criteria prioritising the safety of navigation. </w:t>
      </w:r>
    </w:p>
    <w:p w14:paraId="51255133" w14:textId="445AB761" w:rsidR="00001231" w:rsidRDefault="00001231" w:rsidP="00001231">
      <w:pPr>
        <w:pStyle w:val="ListParagraph"/>
        <w:numPr>
          <w:ilvl w:val="0"/>
          <w:numId w:val="52"/>
        </w:numPr>
        <w:autoSpaceDE w:val="0"/>
        <w:autoSpaceDN w:val="0"/>
        <w:adjustRightInd w:val="0"/>
        <w:spacing w:before="120" w:after="100" w:afterAutospacing="1"/>
        <w:contextualSpacing w:val="0"/>
        <w:jc w:val="both"/>
        <w:rPr>
          <w:rFonts w:asciiTheme="minorHAnsi" w:hAnsiTheme="minorHAnsi"/>
          <w:color w:val="000000"/>
        </w:rPr>
      </w:pPr>
      <w:r w:rsidRPr="00D9150E">
        <w:rPr>
          <w:rFonts w:asciiTheme="minorHAnsi" w:hAnsiTheme="minorHAnsi"/>
          <w:color w:val="000000"/>
        </w:rPr>
        <w:t>The Coordinators may add some complementary information in the navigational Warning (using the Amplifying Remarks fields) so as to include clarifications for mariners regarding the implications of the unavailability/performance degradation notified.</w:t>
      </w:r>
    </w:p>
    <w:p w14:paraId="45A403A0" w14:textId="2824CA31" w:rsidR="00001231" w:rsidRPr="00D9150E" w:rsidRDefault="00001231" w:rsidP="00D9150E">
      <w:pPr>
        <w:pStyle w:val="AnnexHeading1"/>
        <w:numPr>
          <w:ilvl w:val="1"/>
          <w:numId w:val="62"/>
        </w:numPr>
        <w:rPr>
          <w:rFonts w:ascii="Calibri" w:hAnsi="Calibri"/>
          <w:color w:val="4F81BD" w:themeColor="accent1"/>
        </w:rPr>
      </w:pPr>
      <w:bookmarkStart w:id="20" w:name="_Toc40452517"/>
      <w:r w:rsidRPr="00D9150E">
        <w:rPr>
          <w:rFonts w:ascii="Calibri" w:hAnsi="Calibri"/>
          <w:color w:val="4F81BD" w:themeColor="accent1"/>
        </w:rPr>
        <w:t>Galileo MSI Messages Format</w:t>
      </w:r>
      <w:bookmarkEnd w:id="20"/>
    </w:p>
    <w:p w14:paraId="402BEAF7" w14:textId="42C8E0F6" w:rsidR="00001231" w:rsidRDefault="00001231" w:rsidP="00D9150E">
      <w:pPr>
        <w:pStyle w:val="BodyText"/>
      </w:pPr>
      <w:r w:rsidRPr="00D9150E">
        <w:t xml:space="preserve">Galileo Messages (Mails) will be issued in English and </w:t>
      </w:r>
      <w:r w:rsidR="005E3C32">
        <w:t>shall</w:t>
      </w:r>
      <w:r w:rsidR="005E3C32" w:rsidRPr="004D482B">
        <w:t xml:space="preserve"> </w:t>
      </w:r>
      <w:r w:rsidRPr="004D482B">
        <w:t>contain the following fields</w:t>
      </w:r>
      <w:r w:rsidR="009B02F7" w:rsidRPr="004D482B">
        <w:t xml:space="preserve"> (following the Navigational warning’s format included in the </w:t>
      </w:r>
      <w:r w:rsidR="009B02F7" w:rsidRPr="004D482B">
        <w:rPr>
          <w:rFonts w:asciiTheme="minorHAnsi" w:hAnsiTheme="minorHAnsi"/>
          <w:color w:val="000000"/>
        </w:rPr>
        <w:t>Manual on MSI</w:t>
      </w:r>
      <w:r w:rsidR="004D482B" w:rsidRPr="004D482B">
        <w:rPr>
          <w:rFonts w:asciiTheme="minorHAnsi" w:hAnsiTheme="minorHAnsi"/>
          <w:color w:val="000000"/>
        </w:rPr>
        <w:t xml:space="preserve"> </w:t>
      </w:r>
      <w:r w:rsidR="004D482B" w:rsidRPr="004D482B">
        <w:rPr>
          <w:rFonts w:asciiTheme="minorHAnsi" w:hAnsiTheme="minorHAnsi"/>
          <w:color w:val="000000"/>
        </w:rPr>
        <w:fldChar w:fldCharType="begin"/>
      </w:r>
      <w:r w:rsidR="004D482B" w:rsidRPr="004D482B">
        <w:rPr>
          <w:rFonts w:asciiTheme="minorHAnsi" w:hAnsiTheme="minorHAnsi"/>
          <w:color w:val="000000"/>
        </w:rPr>
        <w:instrText xml:space="preserve"> REF _Ref49447411 \r \h </w:instrText>
      </w:r>
      <w:r w:rsidR="004D482B">
        <w:rPr>
          <w:rFonts w:asciiTheme="minorHAnsi" w:hAnsiTheme="minorHAnsi"/>
          <w:color w:val="000000"/>
        </w:rPr>
        <w:instrText xml:space="preserve"> \* MERGEFORMAT </w:instrText>
      </w:r>
      <w:r w:rsidR="004D482B" w:rsidRPr="004D482B">
        <w:rPr>
          <w:rFonts w:asciiTheme="minorHAnsi" w:hAnsiTheme="minorHAnsi"/>
          <w:color w:val="000000"/>
        </w:rPr>
      </w:r>
      <w:r w:rsidR="004D482B" w:rsidRPr="004D482B">
        <w:rPr>
          <w:rFonts w:asciiTheme="minorHAnsi" w:hAnsiTheme="minorHAnsi"/>
          <w:color w:val="000000"/>
        </w:rPr>
        <w:fldChar w:fldCharType="separate"/>
      </w:r>
      <w:r w:rsidR="004D482B" w:rsidRPr="004D482B">
        <w:rPr>
          <w:rFonts w:asciiTheme="minorHAnsi" w:hAnsiTheme="minorHAnsi"/>
          <w:color w:val="000000"/>
        </w:rPr>
        <w:t>[1]</w:t>
      </w:r>
      <w:r w:rsidR="004D482B" w:rsidRPr="004D482B">
        <w:rPr>
          <w:rFonts w:asciiTheme="minorHAnsi" w:hAnsiTheme="minorHAnsi"/>
          <w:color w:val="000000"/>
        </w:rPr>
        <w:fldChar w:fldCharType="end"/>
      </w:r>
      <w:r w:rsidR="009B02F7">
        <w:rPr>
          <w:rFonts w:asciiTheme="minorHAnsi" w:hAnsiTheme="minorHAnsi"/>
          <w:color w:val="000000"/>
        </w:rPr>
        <w:t>)</w:t>
      </w:r>
      <w:r w:rsidRPr="00D9150E">
        <w:t>:</w:t>
      </w:r>
    </w:p>
    <w:p w14:paraId="7A76ED32" w14:textId="430C198C" w:rsidR="009B02F7" w:rsidRPr="007A395D" w:rsidRDefault="009B02F7" w:rsidP="009B02F7">
      <w:pPr>
        <w:pStyle w:val="Table"/>
      </w:pPr>
      <w:r>
        <w:lastRenderedPageBreak/>
        <w:t>Galileo MSI Messages format</w:t>
      </w:r>
    </w:p>
    <w:p w14:paraId="795E386C" w14:textId="77777777" w:rsidR="009B02F7" w:rsidRPr="00D9150E" w:rsidRDefault="009B02F7" w:rsidP="00D9150E">
      <w:pPr>
        <w:pStyle w:val="BodyText"/>
      </w:pPr>
    </w:p>
    <w:tbl>
      <w:tblPr>
        <w:tblStyle w:val="TableGrid"/>
        <w:tblW w:w="0" w:type="auto"/>
        <w:jc w:val="center"/>
        <w:tblLook w:val="04A0" w:firstRow="1" w:lastRow="0" w:firstColumn="1" w:lastColumn="0" w:noHBand="0" w:noVBand="1"/>
      </w:tblPr>
      <w:tblGrid>
        <w:gridCol w:w="3256"/>
        <w:gridCol w:w="4824"/>
      </w:tblGrid>
      <w:tr w:rsidR="00001231" w:rsidRPr="009B02F7" w14:paraId="242ECA80" w14:textId="77777777" w:rsidTr="00D9150E">
        <w:trPr>
          <w:jc w:val="center"/>
        </w:trPr>
        <w:tc>
          <w:tcPr>
            <w:tcW w:w="3256" w:type="dxa"/>
          </w:tcPr>
          <w:p w14:paraId="6FE1D766" w14:textId="77777777" w:rsidR="00001231" w:rsidRPr="00D9150E" w:rsidRDefault="00001231" w:rsidP="000E4964">
            <w:pPr>
              <w:jc w:val="center"/>
              <w:rPr>
                <w:rFonts w:asciiTheme="minorHAnsi" w:hAnsiTheme="minorHAnsi"/>
                <w:b/>
              </w:rPr>
            </w:pPr>
            <w:r w:rsidRPr="00D9150E">
              <w:rPr>
                <w:rFonts w:asciiTheme="minorHAnsi" w:hAnsiTheme="minorHAnsi"/>
                <w:b/>
              </w:rPr>
              <w:t>Field</w:t>
            </w:r>
          </w:p>
        </w:tc>
        <w:tc>
          <w:tcPr>
            <w:tcW w:w="4824" w:type="dxa"/>
          </w:tcPr>
          <w:p w14:paraId="461163CF" w14:textId="77777777" w:rsidR="00001231" w:rsidRPr="00D9150E" w:rsidRDefault="00001231" w:rsidP="000E4964">
            <w:pPr>
              <w:jc w:val="center"/>
              <w:rPr>
                <w:rFonts w:asciiTheme="minorHAnsi" w:hAnsiTheme="minorHAnsi"/>
                <w:b/>
              </w:rPr>
            </w:pPr>
            <w:r w:rsidRPr="00D9150E">
              <w:rPr>
                <w:rFonts w:asciiTheme="minorHAnsi" w:hAnsiTheme="minorHAnsi"/>
                <w:b/>
              </w:rPr>
              <w:t>Content</w:t>
            </w:r>
          </w:p>
        </w:tc>
      </w:tr>
      <w:tr w:rsidR="00001231" w:rsidRPr="009B02F7" w14:paraId="08A4FA93" w14:textId="77777777" w:rsidTr="00D9150E">
        <w:trPr>
          <w:trHeight w:val="794"/>
          <w:jc w:val="center"/>
        </w:trPr>
        <w:tc>
          <w:tcPr>
            <w:tcW w:w="3256" w:type="dxa"/>
          </w:tcPr>
          <w:p w14:paraId="321B6339" w14:textId="77777777" w:rsidR="00001231" w:rsidRPr="00D9150E" w:rsidRDefault="00001231" w:rsidP="000E4964">
            <w:pPr>
              <w:rPr>
                <w:rFonts w:asciiTheme="minorHAnsi" w:hAnsiTheme="minorHAnsi"/>
              </w:rPr>
            </w:pPr>
            <w:r w:rsidRPr="00D9150E">
              <w:rPr>
                <w:rFonts w:asciiTheme="minorHAnsi" w:hAnsiTheme="minorHAnsi"/>
                <w:b/>
                <w:color w:val="000000"/>
              </w:rPr>
              <w:t xml:space="preserve">Message identifier: </w:t>
            </w:r>
          </w:p>
        </w:tc>
        <w:tc>
          <w:tcPr>
            <w:tcW w:w="4824" w:type="dxa"/>
          </w:tcPr>
          <w:p w14:paraId="5FBA4990" w14:textId="77777777" w:rsidR="00001231" w:rsidRPr="00D9150E" w:rsidRDefault="00001231" w:rsidP="000E4964">
            <w:pPr>
              <w:rPr>
                <w:rFonts w:asciiTheme="minorHAnsi" w:hAnsiTheme="minorHAnsi"/>
              </w:rPr>
            </w:pPr>
            <w:r w:rsidRPr="00D9150E">
              <w:rPr>
                <w:rFonts w:asciiTheme="minorHAnsi" w:hAnsiTheme="minorHAnsi"/>
                <w:color w:val="000000"/>
              </w:rPr>
              <w:t>GALILEOMSG XXX/YY (sequential number)</w:t>
            </w:r>
          </w:p>
        </w:tc>
      </w:tr>
      <w:tr w:rsidR="00001231" w:rsidRPr="009B02F7" w14:paraId="6304776F" w14:textId="77777777" w:rsidTr="00D9150E">
        <w:trPr>
          <w:trHeight w:val="794"/>
          <w:jc w:val="center"/>
        </w:trPr>
        <w:tc>
          <w:tcPr>
            <w:tcW w:w="3256" w:type="dxa"/>
          </w:tcPr>
          <w:p w14:paraId="3C2D8409" w14:textId="77777777" w:rsidR="00001231" w:rsidRPr="00D9150E" w:rsidRDefault="00001231" w:rsidP="000E4964">
            <w:pPr>
              <w:rPr>
                <w:rFonts w:asciiTheme="minorHAnsi" w:hAnsiTheme="minorHAnsi"/>
              </w:rPr>
            </w:pPr>
            <w:r w:rsidRPr="00D9150E">
              <w:rPr>
                <w:rFonts w:asciiTheme="minorHAnsi" w:hAnsiTheme="minorHAnsi"/>
                <w:b/>
                <w:color w:val="000000"/>
              </w:rPr>
              <w:t xml:space="preserve">General Area: </w:t>
            </w:r>
          </w:p>
        </w:tc>
        <w:tc>
          <w:tcPr>
            <w:tcW w:w="4824" w:type="dxa"/>
          </w:tcPr>
          <w:p w14:paraId="392F34AC" w14:textId="77777777" w:rsidR="00001231" w:rsidRPr="00D9150E" w:rsidRDefault="00001231" w:rsidP="000E4964">
            <w:pPr>
              <w:rPr>
                <w:rFonts w:asciiTheme="minorHAnsi" w:hAnsiTheme="minorHAnsi"/>
              </w:rPr>
            </w:pPr>
            <w:r w:rsidRPr="00D9150E">
              <w:rPr>
                <w:rFonts w:asciiTheme="minorHAnsi" w:hAnsiTheme="minorHAnsi"/>
              </w:rPr>
              <w:t>GALILEO MARITIME SERVICE</w:t>
            </w:r>
          </w:p>
        </w:tc>
      </w:tr>
      <w:tr w:rsidR="00001231" w:rsidRPr="009B02F7" w14:paraId="09C7C659" w14:textId="77777777" w:rsidTr="00D9150E">
        <w:trPr>
          <w:trHeight w:val="794"/>
          <w:jc w:val="center"/>
        </w:trPr>
        <w:tc>
          <w:tcPr>
            <w:tcW w:w="3256" w:type="dxa"/>
          </w:tcPr>
          <w:p w14:paraId="3D66CC12" w14:textId="77777777" w:rsidR="00001231" w:rsidRPr="00D9150E" w:rsidRDefault="00001231" w:rsidP="000E4964">
            <w:pPr>
              <w:rPr>
                <w:rFonts w:asciiTheme="minorHAnsi" w:hAnsiTheme="minorHAnsi"/>
              </w:rPr>
            </w:pPr>
            <w:r w:rsidRPr="00D9150E">
              <w:rPr>
                <w:rFonts w:asciiTheme="minorHAnsi" w:hAnsiTheme="minorHAnsi"/>
                <w:b/>
                <w:color w:val="000000"/>
              </w:rPr>
              <w:t>General Subject: the nature of the event</w:t>
            </w:r>
          </w:p>
        </w:tc>
        <w:tc>
          <w:tcPr>
            <w:tcW w:w="4824" w:type="dxa"/>
          </w:tcPr>
          <w:p w14:paraId="2BAF93D9" w14:textId="77777777" w:rsidR="00001231" w:rsidRPr="00D9150E" w:rsidRDefault="00001231" w:rsidP="000E4964">
            <w:pPr>
              <w:rPr>
                <w:rFonts w:asciiTheme="minorHAnsi" w:hAnsiTheme="minorHAnsi"/>
              </w:rPr>
            </w:pPr>
            <w:r w:rsidRPr="00D9150E">
              <w:rPr>
                <w:rFonts w:asciiTheme="minorHAnsi" w:hAnsiTheme="minorHAnsi"/>
                <w:color w:val="000000"/>
              </w:rPr>
              <w:t>GALILEO NOT AVAILABLE FOR MARITIME NAVIGATION</w:t>
            </w:r>
          </w:p>
        </w:tc>
      </w:tr>
      <w:tr w:rsidR="00001231" w:rsidRPr="009B02F7" w14:paraId="641C7670" w14:textId="77777777" w:rsidTr="00D9150E">
        <w:trPr>
          <w:trHeight w:val="794"/>
          <w:jc w:val="center"/>
        </w:trPr>
        <w:tc>
          <w:tcPr>
            <w:tcW w:w="3256" w:type="dxa"/>
          </w:tcPr>
          <w:p w14:paraId="501107FE" w14:textId="77777777" w:rsidR="00001231" w:rsidRPr="00D9150E" w:rsidRDefault="00001231" w:rsidP="000E4964">
            <w:pPr>
              <w:rPr>
                <w:rFonts w:asciiTheme="minorHAnsi" w:hAnsiTheme="minorHAnsi"/>
              </w:rPr>
            </w:pPr>
            <w:r w:rsidRPr="00D9150E">
              <w:rPr>
                <w:rFonts w:asciiTheme="minorHAnsi" w:hAnsiTheme="minorHAnsi"/>
                <w:b/>
                <w:color w:val="000000"/>
              </w:rPr>
              <w:t xml:space="preserve">Geographical Position: </w:t>
            </w:r>
          </w:p>
        </w:tc>
        <w:tc>
          <w:tcPr>
            <w:tcW w:w="4824" w:type="dxa"/>
          </w:tcPr>
          <w:p w14:paraId="386C75F0" w14:textId="77777777" w:rsidR="00001231" w:rsidRPr="00D9150E" w:rsidRDefault="00001231" w:rsidP="000E4964">
            <w:pPr>
              <w:rPr>
                <w:rFonts w:asciiTheme="minorHAnsi" w:hAnsiTheme="minorHAnsi"/>
                <w:color w:val="000000"/>
              </w:rPr>
            </w:pPr>
            <w:r w:rsidRPr="00D9150E">
              <w:rPr>
                <w:rFonts w:asciiTheme="minorHAnsi" w:hAnsiTheme="minorHAnsi"/>
                <w:color w:val="000000"/>
              </w:rPr>
              <w:t>Area limits/position in WGS84 in degrees and minutes or degrees, minutes and decimal minutes.</w:t>
            </w:r>
          </w:p>
          <w:p w14:paraId="33F549C9" w14:textId="77777777" w:rsidR="00001231" w:rsidRPr="00D9150E" w:rsidRDefault="00001231" w:rsidP="000E4964">
            <w:pPr>
              <w:rPr>
                <w:rFonts w:asciiTheme="minorHAnsi" w:hAnsiTheme="minorHAnsi"/>
              </w:rPr>
            </w:pPr>
            <w:r w:rsidRPr="00D9150E">
              <w:rPr>
                <w:rFonts w:asciiTheme="minorHAnsi" w:hAnsiTheme="minorHAnsi"/>
                <w:color w:val="000000"/>
              </w:rPr>
              <w:t>Positions listed in a clockwise direction starting from the North West corner.</w:t>
            </w:r>
          </w:p>
        </w:tc>
      </w:tr>
      <w:tr w:rsidR="00001231" w:rsidRPr="009B02F7" w14:paraId="3323C371" w14:textId="77777777" w:rsidTr="00D9150E">
        <w:trPr>
          <w:trHeight w:val="794"/>
          <w:jc w:val="center"/>
        </w:trPr>
        <w:tc>
          <w:tcPr>
            <w:tcW w:w="3256" w:type="dxa"/>
          </w:tcPr>
          <w:p w14:paraId="32F89F66" w14:textId="77777777" w:rsidR="00001231" w:rsidRPr="00D9150E" w:rsidRDefault="00001231" w:rsidP="000E4964">
            <w:pPr>
              <w:rPr>
                <w:rFonts w:asciiTheme="minorHAnsi" w:hAnsiTheme="minorHAnsi"/>
              </w:rPr>
            </w:pPr>
            <w:r w:rsidRPr="00D9150E">
              <w:rPr>
                <w:rFonts w:asciiTheme="minorHAnsi" w:hAnsiTheme="minorHAnsi"/>
                <w:b/>
                <w:color w:val="000000"/>
              </w:rPr>
              <w:t xml:space="preserve">Amplifying remarks: </w:t>
            </w:r>
          </w:p>
        </w:tc>
        <w:tc>
          <w:tcPr>
            <w:tcW w:w="4824" w:type="dxa"/>
          </w:tcPr>
          <w:p w14:paraId="0707D770" w14:textId="77777777" w:rsidR="00001231" w:rsidRPr="00D9150E" w:rsidRDefault="00001231" w:rsidP="000E4964">
            <w:pPr>
              <w:rPr>
                <w:rFonts w:asciiTheme="minorHAnsi" w:hAnsiTheme="minorHAnsi"/>
                <w:color w:val="000000"/>
              </w:rPr>
            </w:pPr>
            <w:r w:rsidRPr="00D9150E">
              <w:rPr>
                <w:rFonts w:asciiTheme="minorHAnsi" w:hAnsiTheme="minorHAnsi"/>
                <w:color w:val="000000"/>
              </w:rPr>
              <w:t>Date, time and duration of the event</w:t>
            </w:r>
          </w:p>
          <w:p w14:paraId="52E08CD3" w14:textId="77777777" w:rsidR="00001231" w:rsidRPr="00D9150E" w:rsidRDefault="00001231" w:rsidP="000E4964">
            <w:pPr>
              <w:autoSpaceDE w:val="0"/>
              <w:autoSpaceDN w:val="0"/>
              <w:adjustRightInd w:val="0"/>
              <w:rPr>
                <w:rFonts w:asciiTheme="minorHAnsi" w:hAnsiTheme="minorHAnsi"/>
                <w:color w:val="000000"/>
              </w:rPr>
            </w:pPr>
            <w:r w:rsidRPr="00D9150E">
              <w:rPr>
                <w:rFonts w:asciiTheme="minorHAnsi" w:hAnsiTheme="minorHAnsi"/>
                <w:color w:val="000000"/>
              </w:rPr>
              <w:t xml:space="preserve">FROM: DDHHMM UTC MoMoMo YY; </w:t>
            </w:r>
          </w:p>
          <w:p w14:paraId="0B8749C8" w14:textId="77777777" w:rsidR="00001231" w:rsidRPr="00D9150E" w:rsidRDefault="00001231" w:rsidP="000E4964">
            <w:pPr>
              <w:autoSpaceDE w:val="0"/>
              <w:autoSpaceDN w:val="0"/>
              <w:adjustRightInd w:val="0"/>
              <w:rPr>
                <w:rFonts w:asciiTheme="minorHAnsi" w:hAnsiTheme="minorHAnsi"/>
                <w:color w:val="000000"/>
              </w:rPr>
            </w:pPr>
            <w:r w:rsidRPr="00D9150E">
              <w:rPr>
                <w:rFonts w:asciiTheme="minorHAnsi" w:hAnsiTheme="minorHAnsi"/>
                <w:color w:val="000000"/>
              </w:rPr>
              <w:t>TO: Unknown or DDHHMM UTC MoMoMo YY</w:t>
            </w:r>
          </w:p>
          <w:p w14:paraId="602629F0" w14:textId="77777777" w:rsidR="00001231" w:rsidRPr="00D9150E" w:rsidRDefault="00001231" w:rsidP="000E4964">
            <w:pPr>
              <w:autoSpaceDE w:val="0"/>
              <w:autoSpaceDN w:val="0"/>
              <w:adjustRightInd w:val="0"/>
              <w:rPr>
                <w:rFonts w:asciiTheme="minorHAnsi" w:hAnsiTheme="minorHAnsi"/>
              </w:rPr>
            </w:pPr>
            <w:r w:rsidRPr="00D9150E">
              <w:rPr>
                <w:rFonts w:asciiTheme="minorHAnsi" w:hAnsiTheme="minorHAnsi"/>
                <w:color w:val="000000"/>
              </w:rPr>
              <w:t xml:space="preserve">Note: the ending time can be included if known. If not known, a recovery message is needed. </w:t>
            </w:r>
          </w:p>
        </w:tc>
      </w:tr>
    </w:tbl>
    <w:p w14:paraId="67B6ADCC" w14:textId="2A811DC1" w:rsidR="00001231" w:rsidRDefault="00001231" w:rsidP="00001231"/>
    <w:p w14:paraId="365F334E" w14:textId="4B62DA55" w:rsidR="00A72FBB" w:rsidRDefault="00A72FBB" w:rsidP="00A72FBB">
      <w:pPr>
        <w:pStyle w:val="BodyText"/>
      </w:pPr>
      <w:r w:rsidRPr="00D9150E">
        <w:rPr>
          <w:rFonts w:asciiTheme="minorHAnsi" w:hAnsiTheme="minorHAnsi"/>
          <w:color w:val="000000"/>
        </w:rPr>
        <w:t>The NAVAREA/Sub-Area and National Coordinators</w:t>
      </w:r>
      <w:r w:rsidR="00B43214">
        <w:rPr>
          <w:rFonts w:asciiTheme="minorHAnsi" w:hAnsiTheme="minorHAnsi"/>
          <w:color w:val="000000"/>
        </w:rPr>
        <w:t xml:space="preserve"> </w:t>
      </w:r>
      <w:r w:rsidR="005E3C32">
        <w:rPr>
          <w:rFonts w:asciiTheme="minorHAnsi" w:hAnsiTheme="minorHAnsi"/>
          <w:color w:val="000000"/>
        </w:rPr>
        <w:t xml:space="preserve">should </w:t>
      </w:r>
      <w:r w:rsidR="00B43214">
        <w:rPr>
          <w:rFonts w:asciiTheme="minorHAnsi" w:hAnsiTheme="minorHAnsi"/>
          <w:color w:val="000000"/>
        </w:rPr>
        <w:t>be responsible for the issuing and formatting the final Navigational warnings to be sent to the mariners, using the information provided in the fields indicated above.</w:t>
      </w:r>
    </w:p>
    <w:p w14:paraId="6504EDE9" w14:textId="50176BC7" w:rsidR="009B02F7" w:rsidRDefault="009B02F7" w:rsidP="00D9150E">
      <w:pPr>
        <w:pStyle w:val="AnnexHeading1"/>
        <w:numPr>
          <w:ilvl w:val="0"/>
          <w:numId w:val="62"/>
        </w:numPr>
        <w:rPr>
          <w:rFonts w:ascii="Calibri" w:hAnsi="Calibri"/>
          <w:color w:val="4F81BD" w:themeColor="accent1"/>
        </w:rPr>
      </w:pPr>
      <w:r w:rsidRPr="00D9150E">
        <w:rPr>
          <w:rFonts w:ascii="Calibri" w:hAnsi="Calibri"/>
          <w:color w:val="4F81BD" w:themeColor="accent1"/>
        </w:rPr>
        <w:t>Next steps</w:t>
      </w:r>
    </w:p>
    <w:p w14:paraId="2D8E9553" w14:textId="1148FFAF" w:rsidR="009B02F7" w:rsidRDefault="009B02F7" w:rsidP="00D9150E">
      <w:pPr>
        <w:pStyle w:val="BodyText"/>
      </w:pPr>
      <w:r>
        <w:t>The following way forward</w:t>
      </w:r>
      <w:r w:rsidR="00FE54E2">
        <w:t xml:space="preserve"> (open points for discussion/agreement)</w:t>
      </w:r>
      <w:r>
        <w:t xml:space="preserve"> has been identified in order to proceed with the implementation of the Galileo MSI Service, with the characteristics indicated above.</w:t>
      </w:r>
    </w:p>
    <w:p w14:paraId="70F4288E" w14:textId="77777777" w:rsidR="00F11C4B" w:rsidRDefault="00AC260F" w:rsidP="00F11C4B">
      <w:pPr>
        <w:pStyle w:val="BodyText"/>
        <w:numPr>
          <w:ilvl w:val="0"/>
          <w:numId w:val="52"/>
        </w:numPr>
      </w:pPr>
      <w:r>
        <w:t>Check with the different NAVAREA Coordinators the proposed approach and, in particular, clarify the following points:</w:t>
      </w:r>
    </w:p>
    <w:p w14:paraId="470DC0BA" w14:textId="75C67809" w:rsidR="00F11C4B" w:rsidRDefault="00AC260F" w:rsidP="00F11C4B">
      <w:pPr>
        <w:pStyle w:val="BodyText"/>
        <w:numPr>
          <w:ilvl w:val="1"/>
          <w:numId w:val="52"/>
        </w:numPr>
        <w:spacing w:before="120" w:after="100" w:afterAutospacing="1"/>
        <w:rPr>
          <w:color w:val="000000"/>
        </w:rPr>
      </w:pPr>
      <w:r w:rsidRPr="00F11C4B">
        <w:rPr>
          <w:color w:val="000000"/>
        </w:rPr>
        <w:t xml:space="preserve">Given that Galileo is a Global System, the number of PoCs to be used as interface for the provision of Galileo MSI </w:t>
      </w:r>
      <w:r w:rsidR="005E3C32">
        <w:rPr>
          <w:color w:val="000000"/>
        </w:rPr>
        <w:t>is considerable</w:t>
      </w:r>
      <w:r w:rsidRPr="00F11C4B">
        <w:rPr>
          <w:color w:val="000000"/>
        </w:rPr>
        <w:t>:</w:t>
      </w:r>
      <w:r w:rsidR="00F11C4B" w:rsidRPr="00F11C4B">
        <w:rPr>
          <w:color w:val="000000"/>
        </w:rPr>
        <w:t xml:space="preserve"> </w:t>
      </w:r>
      <w:r w:rsidRPr="00F11C4B">
        <w:rPr>
          <w:color w:val="000000"/>
        </w:rPr>
        <w:t>21 NAVAREA Coordinators</w:t>
      </w:r>
      <w:r w:rsidR="00F11C4B" w:rsidRPr="00F11C4B">
        <w:rPr>
          <w:color w:val="000000"/>
        </w:rPr>
        <w:t xml:space="preserve"> and the </w:t>
      </w:r>
      <w:r w:rsidR="00F11C4B">
        <w:rPr>
          <w:color w:val="000000"/>
        </w:rPr>
        <w:t xml:space="preserve">different </w:t>
      </w:r>
      <w:r w:rsidRPr="00F11C4B">
        <w:rPr>
          <w:color w:val="000000"/>
        </w:rPr>
        <w:t>National Coordinators within each NAVAREA</w:t>
      </w:r>
      <w:r w:rsidR="00F11C4B">
        <w:rPr>
          <w:color w:val="000000"/>
        </w:rPr>
        <w:t>.</w:t>
      </w:r>
    </w:p>
    <w:p w14:paraId="402F7E7C" w14:textId="620079C3" w:rsidR="00AC260F" w:rsidRDefault="00AC260F" w:rsidP="00F11C4B">
      <w:pPr>
        <w:pStyle w:val="BodyText"/>
        <w:spacing w:before="120" w:after="100" w:afterAutospacing="1"/>
        <w:ind w:left="1440"/>
        <w:rPr>
          <w:color w:val="000000"/>
        </w:rPr>
      </w:pPr>
      <w:r w:rsidRPr="00F11C4B">
        <w:rPr>
          <w:color w:val="000000"/>
        </w:rPr>
        <w:t>It should be assessed with the different Coordinators if the provision of Galileo MSI to all these contacts is the best way to proceed or the information could be centralised by a reduced number of Coordinators that will afterwards forward the information to affected parties.</w:t>
      </w:r>
    </w:p>
    <w:p w14:paraId="474C068E" w14:textId="7796D37F" w:rsidR="00F11C4B" w:rsidRDefault="00F11C4B" w:rsidP="00F11C4B">
      <w:pPr>
        <w:pStyle w:val="BodyText"/>
        <w:numPr>
          <w:ilvl w:val="1"/>
          <w:numId w:val="52"/>
        </w:numPr>
        <w:spacing w:before="120" w:after="100" w:afterAutospacing="1"/>
        <w:rPr>
          <w:color w:val="000000"/>
        </w:rPr>
      </w:pPr>
      <w:r w:rsidRPr="00F11C4B">
        <w:rPr>
          <w:color w:val="000000"/>
        </w:rPr>
        <w:t>An exhaustive procedure to crosscheck that the PoCs details are up to date should be defined (to be crosschecked more than once a year).</w:t>
      </w:r>
    </w:p>
    <w:p w14:paraId="703CAFF0" w14:textId="3AE8EC7E" w:rsidR="00F11C4B" w:rsidRDefault="00F11C4B" w:rsidP="00F11C4B">
      <w:pPr>
        <w:pStyle w:val="BodyText"/>
        <w:numPr>
          <w:ilvl w:val="1"/>
          <w:numId w:val="52"/>
        </w:numPr>
        <w:spacing w:before="120" w:after="100" w:afterAutospacing="1"/>
        <w:rPr>
          <w:color w:val="000000"/>
        </w:rPr>
      </w:pPr>
      <w:r>
        <w:rPr>
          <w:color w:val="000000"/>
        </w:rPr>
        <w:t>To check if the</w:t>
      </w:r>
      <w:r w:rsidRPr="0066260F">
        <w:rPr>
          <w:color w:val="000000"/>
        </w:rPr>
        <w:t xml:space="preserve"> scheduling proposed to be followed is </w:t>
      </w:r>
      <w:r>
        <w:rPr>
          <w:color w:val="000000"/>
        </w:rPr>
        <w:t>in line with existing MSI procedures and adequate for the provision of Galileo MSI Service.</w:t>
      </w:r>
    </w:p>
    <w:p w14:paraId="14C56675" w14:textId="6795C1D7" w:rsidR="00F11C4B" w:rsidRDefault="00F11C4B" w:rsidP="00F11C4B">
      <w:pPr>
        <w:pStyle w:val="BodyText"/>
        <w:numPr>
          <w:ilvl w:val="1"/>
          <w:numId w:val="52"/>
        </w:numPr>
        <w:spacing w:before="120" w:after="100" w:afterAutospacing="1"/>
        <w:rPr>
          <w:color w:val="000000"/>
        </w:rPr>
      </w:pPr>
      <w:r>
        <w:rPr>
          <w:color w:val="000000"/>
        </w:rPr>
        <w:t xml:space="preserve">To understand the need for the establishment of a </w:t>
      </w:r>
      <w:r w:rsidR="005E3C32">
        <w:rPr>
          <w:color w:val="000000"/>
        </w:rPr>
        <w:t>Working Agreement</w:t>
      </w:r>
      <w:r>
        <w:rPr>
          <w:color w:val="000000"/>
        </w:rPr>
        <w:t xml:space="preserve"> with the different Coordinators for the provision of Galileo MSI</w:t>
      </w:r>
      <w:r w:rsidR="002A76A7">
        <w:rPr>
          <w:color w:val="000000"/>
        </w:rPr>
        <w:t xml:space="preserve"> Service</w:t>
      </w:r>
      <w:r>
        <w:rPr>
          <w:color w:val="000000"/>
        </w:rPr>
        <w:t>.</w:t>
      </w:r>
    </w:p>
    <w:p w14:paraId="0A9998AF" w14:textId="77777777" w:rsidR="00F11C4B" w:rsidRPr="00F11C4B" w:rsidRDefault="00F11C4B" w:rsidP="00F11C4B">
      <w:pPr>
        <w:pStyle w:val="BodyText"/>
        <w:spacing w:before="120" w:after="100" w:afterAutospacing="1"/>
        <w:ind w:left="1440"/>
        <w:rPr>
          <w:color w:val="000000"/>
        </w:rPr>
      </w:pPr>
    </w:p>
    <w:sectPr w:rsidR="00F11C4B" w:rsidRPr="00F11C4B"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64D63" w14:textId="77777777" w:rsidR="000B02D6" w:rsidRDefault="000B02D6" w:rsidP="00362CD9">
      <w:r>
        <w:separator/>
      </w:r>
    </w:p>
    <w:p w14:paraId="0DD3D52A" w14:textId="77777777" w:rsidR="000B02D6" w:rsidRDefault="000B02D6"/>
    <w:p w14:paraId="12A56C06" w14:textId="77777777" w:rsidR="000B02D6" w:rsidRDefault="000B02D6"/>
  </w:endnote>
  <w:endnote w:type="continuationSeparator" w:id="0">
    <w:p w14:paraId="4FBA598D" w14:textId="77777777" w:rsidR="000B02D6" w:rsidRDefault="000B02D6" w:rsidP="00362CD9">
      <w:r>
        <w:continuationSeparator/>
      </w:r>
    </w:p>
    <w:p w14:paraId="3B0A5B9A" w14:textId="77777777" w:rsidR="000B02D6" w:rsidRDefault="000B02D6"/>
    <w:p w14:paraId="1768F392" w14:textId="77777777" w:rsidR="000B02D6" w:rsidRDefault="000B02D6"/>
  </w:endnote>
  <w:endnote w:type="continuationNotice" w:id="1">
    <w:p w14:paraId="45058B24" w14:textId="77777777" w:rsidR="000B02D6" w:rsidRDefault="000B0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4260E" w14:textId="77777777" w:rsidR="007A3769" w:rsidRDefault="007A3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5B7DBE97" w:rsidR="004D4B1B" w:rsidRPr="00036B9E" w:rsidRDefault="007A3769">
    <w:pPr>
      <w:pStyle w:val="Footer"/>
      <w:rPr>
        <w:rFonts w:ascii="Calibri" w:hAnsi="Calibri"/>
      </w:rPr>
    </w:pPr>
    <w:r>
      <w:rPr>
        <w:rFonts w:ascii="Calibri" w:hAnsi="Calibri"/>
        <w:sz w:val="20"/>
        <w:szCs w:val="20"/>
      </w:rPr>
      <w:t>Galileo Maritime Safety Information</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11438F">
      <w:rPr>
        <w:rFonts w:ascii="Calibri" w:hAnsi="Calibri"/>
        <w:noProof/>
      </w:rPr>
      <w:t>7</w:t>
    </w:r>
    <w:r w:rsidR="004D4B1B"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B0A47" w14:textId="77777777" w:rsidR="007A3769" w:rsidRDefault="007A3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587F1" w14:textId="77777777" w:rsidR="000B02D6" w:rsidRDefault="000B02D6" w:rsidP="00362CD9">
      <w:r>
        <w:separator/>
      </w:r>
    </w:p>
    <w:p w14:paraId="593D0F94" w14:textId="77777777" w:rsidR="000B02D6" w:rsidRDefault="000B02D6"/>
    <w:p w14:paraId="168B883F" w14:textId="77777777" w:rsidR="000B02D6" w:rsidRDefault="000B02D6"/>
  </w:footnote>
  <w:footnote w:type="continuationSeparator" w:id="0">
    <w:p w14:paraId="699087AC" w14:textId="77777777" w:rsidR="000B02D6" w:rsidRDefault="000B02D6" w:rsidP="00362CD9">
      <w:r>
        <w:continuationSeparator/>
      </w:r>
    </w:p>
    <w:p w14:paraId="68B1BD88" w14:textId="77777777" w:rsidR="000B02D6" w:rsidRDefault="000B02D6"/>
    <w:p w14:paraId="05C0F868" w14:textId="77777777" w:rsidR="000B02D6" w:rsidRDefault="000B02D6"/>
  </w:footnote>
  <w:footnote w:type="continuationNotice" w:id="1">
    <w:p w14:paraId="28C889EE" w14:textId="77777777" w:rsidR="000B02D6" w:rsidRDefault="000B02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0B02D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es-ES" w:eastAsia="es-ES"/>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B02D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s-ES" w:eastAsia="es-E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0B02D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3GIOStyle"/>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1A47F3F"/>
    <w:multiLevelType w:val="hybridMultilevel"/>
    <w:tmpl w:val="B2A4A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3D3399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2112B51"/>
    <w:multiLevelType w:val="hybridMultilevel"/>
    <w:tmpl w:val="FBE8AA0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4975B34"/>
    <w:multiLevelType w:val="hybridMultilevel"/>
    <w:tmpl w:val="70968732"/>
    <w:lvl w:ilvl="0" w:tplc="FCCA6C84">
      <w:start w:val="1"/>
      <w:numFmt w:val="bullet"/>
      <w:lvlText w:val="-"/>
      <w:lvlJc w:val="left"/>
      <w:pPr>
        <w:ind w:left="720" w:hanging="360"/>
      </w:pPr>
      <w:rPr>
        <w:rFonts w:ascii="Calibri" w:eastAsia="Times New Roman"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DE97920"/>
    <w:multiLevelType w:val="hybridMultilevel"/>
    <w:tmpl w:val="0AEC845A"/>
    <w:lvl w:ilvl="0" w:tplc="0C0A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406C4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7B044A"/>
    <w:multiLevelType w:val="multilevel"/>
    <w:tmpl w:val="6DB641AE"/>
    <w:lvl w:ilvl="0">
      <w:start w:val="1"/>
      <w:numFmt w:val="bullet"/>
      <w:lvlText w:val="-"/>
      <w:lvlJc w:val="left"/>
      <w:pPr>
        <w:tabs>
          <w:tab w:val="num" w:pos="1048"/>
        </w:tabs>
        <w:ind w:left="708" w:firstLine="0"/>
      </w:pPr>
      <w:rPr>
        <w:rFonts w:ascii="Calibri" w:eastAsia="Times New Roman" w:hAnsi="Calibri" w:cs="Calibri" w:hint="default"/>
      </w:rPr>
    </w:lvl>
    <w:lvl w:ilvl="1">
      <w:start w:val="1"/>
      <w:numFmt w:val="decimal"/>
      <w:lvlText w:val="%1.%2"/>
      <w:lvlJc w:val="left"/>
      <w:pPr>
        <w:tabs>
          <w:tab w:val="num" w:pos="2264"/>
        </w:tabs>
        <w:ind w:left="2758" w:hanging="491"/>
      </w:pPr>
      <w:rPr>
        <w:rFonts w:hint="default"/>
        <w:i w:val="0"/>
      </w:rPr>
    </w:lvl>
    <w:lvl w:ilvl="2">
      <w:start w:val="1"/>
      <w:numFmt w:val="decimal"/>
      <w:lvlText w:val="%1.%2.%3"/>
      <w:lvlJc w:val="left"/>
      <w:pPr>
        <w:tabs>
          <w:tab w:val="num" w:pos="1788"/>
        </w:tabs>
        <w:ind w:left="1788" w:hanging="720"/>
      </w:pPr>
      <w:rPr>
        <w:rFonts w:hint="default"/>
      </w:rPr>
    </w:lvl>
    <w:lvl w:ilvl="3">
      <w:start w:val="1"/>
      <w:numFmt w:val="decimal"/>
      <w:lvlText w:val="%1.%2.%3.%4"/>
      <w:lvlJc w:val="left"/>
      <w:pPr>
        <w:tabs>
          <w:tab w:val="num" w:pos="3132"/>
        </w:tabs>
        <w:ind w:left="3132" w:hanging="864"/>
      </w:pPr>
      <w:rPr>
        <w:rFonts w:hint="default"/>
      </w:rPr>
    </w:lvl>
    <w:lvl w:ilvl="4">
      <w:start w:val="1"/>
      <w:numFmt w:val="decimal"/>
      <w:lvlText w:val="%1.%2.%3.%4.%5"/>
      <w:lvlJc w:val="left"/>
      <w:pPr>
        <w:tabs>
          <w:tab w:val="num" w:pos="2076"/>
        </w:tabs>
        <w:ind w:left="2076" w:hanging="1008"/>
      </w:pPr>
      <w:rPr>
        <w:rFonts w:hint="default"/>
      </w:rPr>
    </w:lvl>
    <w:lvl w:ilvl="5">
      <w:start w:val="1"/>
      <w:numFmt w:val="decimal"/>
      <w:lvlText w:val="%1.%2.%3.%4.%5.%6"/>
      <w:lvlJc w:val="left"/>
      <w:pPr>
        <w:tabs>
          <w:tab w:val="num" w:pos="2220"/>
        </w:tabs>
        <w:ind w:left="2220" w:hanging="1152"/>
      </w:pPr>
      <w:rPr>
        <w:rFonts w:hint="default"/>
      </w:rPr>
    </w:lvl>
    <w:lvl w:ilvl="6">
      <w:start w:val="1"/>
      <w:numFmt w:val="decimal"/>
      <w:lvlText w:val="%1.%2.%3.%4.%5.%6.%7"/>
      <w:lvlJc w:val="left"/>
      <w:pPr>
        <w:tabs>
          <w:tab w:val="num" w:pos="2364"/>
        </w:tabs>
        <w:ind w:left="2364" w:hanging="1296"/>
      </w:pPr>
      <w:rPr>
        <w:rFonts w:hint="default"/>
      </w:rPr>
    </w:lvl>
    <w:lvl w:ilvl="7">
      <w:start w:val="1"/>
      <w:numFmt w:val="decimal"/>
      <w:lvlText w:val="%1.%2.%3.%4.%5.%6.%7.%8"/>
      <w:lvlJc w:val="left"/>
      <w:pPr>
        <w:tabs>
          <w:tab w:val="num" w:pos="2508"/>
        </w:tabs>
        <w:ind w:left="2508" w:hanging="1440"/>
      </w:pPr>
      <w:rPr>
        <w:rFonts w:hint="default"/>
      </w:rPr>
    </w:lvl>
    <w:lvl w:ilvl="8">
      <w:start w:val="1"/>
      <w:numFmt w:val="decimal"/>
      <w:lvlText w:val="%1.%2.%3.%4.%5.%6.%7.%8.%9"/>
      <w:lvlJc w:val="left"/>
      <w:pPr>
        <w:tabs>
          <w:tab w:val="num" w:pos="2652"/>
        </w:tabs>
        <w:ind w:left="2652" w:hanging="1584"/>
      </w:pPr>
      <w:rPr>
        <w:rFonts w:hint="default"/>
      </w:rPr>
    </w:lvl>
  </w:abstractNum>
  <w:abstractNum w:abstractNumId="1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B4A54BB"/>
    <w:multiLevelType w:val="hybridMultilevel"/>
    <w:tmpl w:val="90A80596"/>
    <w:lvl w:ilvl="0" w:tplc="FCCA6C84">
      <w:start w:val="1"/>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2" w15:restartNumberingAfterBreak="0">
    <w:nsid w:val="3F1416F2"/>
    <w:multiLevelType w:val="hybridMultilevel"/>
    <w:tmpl w:val="FB94FCC8"/>
    <w:lvl w:ilvl="0" w:tplc="6AD4BCB8">
      <w:start w:val="1"/>
      <w:numFmt w:val="decimal"/>
      <w:lvlText w:val="[Req-%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8" w15:restartNumberingAfterBreak="0">
    <w:nsid w:val="4B826D8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C63137"/>
    <w:multiLevelType w:val="hybridMultilevel"/>
    <w:tmpl w:val="09CA0DE6"/>
    <w:lvl w:ilvl="0" w:tplc="7ED42558">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DF16031"/>
    <w:multiLevelType w:val="multilevel"/>
    <w:tmpl w:val="5FA00D86"/>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1556"/>
        </w:tabs>
        <w:ind w:left="2050" w:hanging="491"/>
      </w:pPr>
      <w:rPr>
        <w:rFonts w:hint="default"/>
        <w:i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2424"/>
        </w:tabs>
        <w:ind w:left="24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3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34"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34C1CBF"/>
    <w:multiLevelType w:val="singleLevel"/>
    <w:tmpl w:val="9C1A29B2"/>
    <w:lvl w:ilvl="0">
      <w:start w:val="1"/>
      <w:numFmt w:val="decimal"/>
      <w:pStyle w:val="Figure"/>
      <w:lvlText w:val="Figure %1"/>
      <w:lvlJc w:val="left"/>
      <w:pPr>
        <w:tabs>
          <w:tab w:val="num" w:pos="1134"/>
        </w:tabs>
        <w:ind w:left="1134" w:hanging="1134"/>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7" w15:restartNumberingAfterBreak="0">
    <w:nsid w:val="670C0490"/>
    <w:multiLevelType w:val="multilevel"/>
    <w:tmpl w:val="5FA00D86"/>
    <w:lvl w:ilvl="0">
      <w:start w:val="1"/>
      <w:numFmt w:val="decimal"/>
      <w:lvlText w:val="%1"/>
      <w:lvlJc w:val="left"/>
      <w:pPr>
        <w:tabs>
          <w:tab w:val="num" w:pos="1048"/>
        </w:tabs>
        <w:ind w:left="708" w:firstLine="0"/>
      </w:pPr>
      <w:rPr>
        <w:rFonts w:hint="default"/>
      </w:rPr>
    </w:lvl>
    <w:lvl w:ilvl="1">
      <w:start w:val="1"/>
      <w:numFmt w:val="decimal"/>
      <w:lvlText w:val="%1.%2"/>
      <w:lvlJc w:val="left"/>
      <w:pPr>
        <w:tabs>
          <w:tab w:val="num" w:pos="2264"/>
        </w:tabs>
        <w:ind w:left="2758" w:hanging="491"/>
      </w:pPr>
      <w:rPr>
        <w:rFonts w:hint="default"/>
        <w:i w:val="0"/>
      </w:rPr>
    </w:lvl>
    <w:lvl w:ilvl="2">
      <w:start w:val="1"/>
      <w:numFmt w:val="decimal"/>
      <w:lvlText w:val="%1.%2.%3"/>
      <w:lvlJc w:val="left"/>
      <w:pPr>
        <w:tabs>
          <w:tab w:val="num" w:pos="1788"/>
        </w:tabs>
        <w:ind w:left="1788" w:hanging="720"/>
      </w:pPr>
      <w:rPr>
        <w:rFonts w:hint="default"/>
      </w:rPr>
    </w:lvl>
    <w:lvl w:ilvl="3">
      <w:start w:val="1"/>
      <w:numFmt w:val="decimal"/>
      <w:lvlText w:val="%1.%2.%3.%4"/>
      <w:lvlJc w:val="left"/>
      <w:pPr>
        <w:tabs>
          <w:tab w:val="num" w:pos="3132"/>
        </w:tabs>
        <w:ind w:left="3132" w:hanging="864"/>
      </w:pPr>
      <w:rPr>
        <w:rFonts w:hint="default"/>
      </w:rPr>
    </w:lvl>
    <w:lvl w:ilvl="4">
      <w:start w:val="1"/>
      <w:numFmt w:val="decimal"/>
      <w:lvlText w:val="%1.%2.%3.%4.%5"/>
      <w:lvlJc w:val="left"/>
      <w:pPr>
        <w:tabs>
          <w:tab w:val="num" w:pos="2076"/>
        </w:tabs>
        <w:ind w:left="2076" w:hanging="1008"/>
      </w:pPr>
      <w:rPr>
        <w:rFonts w:hint="default"/>
      </w:rPr>
    </w:lvl>
    <w:lvl w:ilvl="5">
      <w:start w:val="1"/>
      <w:numFmt w:val="decimal"/>
      <w:lvlText w:val="%1.%2.%3.%4.%5.%6"/>
      <w:lvlJc w:val="left"/>
      <w:pPr>
        <w:tabs>
          <w:tab w:val="num" w:pos="2220"/>
        </w:tabs>
        <w:ind w:left="2220" w:hanging="1152"/>
      </w:pPr>
      <w:rPr>
        <w:rFonts w:hint="default"/>
      </w:rPr>
    </w:lvl>
    <w:lvl w:ilvl="6">
      <w:start w:val="1"/>
      <w:numFmt w:val="decimal"/>
      <w:lvlText w:val="%1.%2.%3.%4.%5.%6.%7"/>
      <w:lvlJc w:val="left"/>
      <w:pPr>
        <w:tabs>
          <w:tab w:val="num" w:pos="2364"/>
        </w:tabs>
        <w:ind w:left="2364" w:hanging="1296"/>
      </w:pPr>
      <w:rPr>
        <w:rFonts w:hint="default"/>
      </w:rPr>
    </w:lvl>
    <w:lvl w:ilvl="7">
      <w:start w:val="1"/>
      <w:numFmt w:val="decimal"/>
      <w:lvlText w:val="%1.%2.%3.%4.%5.%6.%7.%8"/>
      <w:lvlJc w:val="left"/>
      <w:pPr>
        <w:tabs>
          <w:tab w:val="num" w:pos="2508"/>
        </w:tabs>
        <w:ind w:left="2508" w:hanging="1440"/>
      </w:pPr>
      <w:rPr>
        <w:rFonts w:hint="default"/>
      </w:rPr>
    </w:lvl>
    <w:lvl w:ilvl="8">
      <w:start w:val="1"/>
      <w:numFmt w:val="decimal"/>
      <w:lvlText w:val="%1.%2.%3.%4.%5.%6.%7.%8.%9"/>
      <w:lvlJc w:val="left"/>
      <w:pPr>
        <w:tabs>
          <w:tab w:val="num" w:pos="2652"/>
        </w:tabs>
        <w:ind w:left="2652" w:hanging="1584"/>
      </w:pPr>
      <w:rPr>
        <w:rFonts w:hint="default"/>
      </w:rPr>
    </w:lvl>
  </w:abstractNum>
  <w:abstractNum w:abstractNumId="3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76EA510A"/>
    <w:multiLevelType w:val="hybridMultilevel"/>
    <w:tmpl w:val="6038E2AC"/>
    <w:lvl w:ilvl="0" w:tplc="4656AF76">
      <w:start w:val="1"/>
      <w:numFmt w:val="decimal"/>
      <w:lvlText w:val="[Action %1]"/>
      <w:lvlJc w:val="left"/>
      <w:pPr>
        <w:ind w:left="1353"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1"/>
  </w:num>
  <w:num w:numId="4">
    <w:abstractNumId w:val="35"/>
  </w:num>
  <w:num w:numId="5">
    <w:abstractNumId w:val="26"/>
  </w:num>
  <w:num w:numId="6">
    <w:abstractNumId w:val="4"/>
  </w:num>
  <w:num w:numId="7">
    <w:abstractNumId w:val="38"/>
  </w:num>
  <w:num w:numId="8">
    <w:abstractNumId w:val="19"/>
  </w:num>
  <w:num w:numId="9">
    <w:abstractNumId w:val="14"/>
  </w:num>
  <w:num w:numId="10">
    <w:abstractNumId w:val="29"/>
  </w:num>
  <w:num w:numId="11">
    <w:abstractNumId w:val="27"/>
  </w:num>
  <w:num w:numId="12">
    <w:abstractNumId w:val="25"/>
  </w:num>
  <w:num w:numId="13">
    <w:abstractNumId w:val="36"/>
  </w:num>
  <w:num w:numId="14">
    <w:abstractNumId w:val="9"/>
  </w:num>
  <w:num w:numId="15">
    <w:abstractNumId w:val="41"/>
  </w:num>
  <w:num w:numId="16">
    <w:abstractNumId w:val="24"/>
  </w:num>
  <w:num w:numId="17">
    <w:abstractNumId w:val="10"/>
  </w:num>
  <w:num w:numId="18">
    <w:abstractNumId w:val="32"/>
  </w:num>
  <w:num w:numId="19">
    <w:abstractNumId w:val="24"/>
  </w:num>
  <w:num w:numId="20">
    <w:abstractNumId w:val="24"/>
  </w:num>
  <w:num w:numId="21">
    <w:abstractNumId w:val="24"/>
  </w:num>
  <w:num w:numId="22">
    <w:abstractNumId w:val="24"/>
  </w:num>
  <w:num w:numId="23">
    <w:abstractNumId w:val="33"/>
  </w:num>
  <w:num w:numId="24">
    <w:abstractNumId w:val="3"/>
  </w:num>
  <w:num w:numId="25">
    <w:abstractNumId w:val="3"/>
  </w:num>
  <w:num w:numId="26">
    <w:abstractNumId w:val="3"/>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31"/>
  </w:num>
  <w:num w:numId="34">
    <w:abstractNumId w:val="31"/>
  </w:num>
  <w:num w:numId="35">
    <w:abstractNumId w:val="31"/>
  </w:num>
  <w:num w:numId="36">
    <w:abstractNumId w:val="21"/>
  </w:num>
  <w:num w:numId="37">
    <w:abstractNumId w:val="9"/>
  </w:num>
  <w:num w:numId="38">
    <w:abstractNumId w:val="25"/>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3"/>
  </w:num>
  <w:num w:numId="45">
    <w:abstractNumId w:val="34"/>
  </w:num>
  <w:num w:numId="46">
    <w:abstractNumId w:val="39"/>
  </w:num>
  <w:num w:numId="47">
    <w:abstractNumId w:val="5"/>
  </w:num>
  <w:num w:numId="48">
    <w:abstractNumId w:val="6"/>
  </w:num>
  <w:num w:numId="49">
    <w:abstractNumId w:val="30"/>
  </w:num>
  <w:num w:numId="50">
    <w:abstractNumId w:val="7"/>
  </w:num>
  <w:num w:numId="51">
    <w:abstractNumId w:val="16"/>
  </w:num>
  <w:num w:numId="52">
    <w:abstractNumId w:val="13"/>
  </w:num>
  <w:num w:numId="53">
    <w:abstractNumId w:val="22"/>
  </w:num>
  <w:num w:numId="54">
    <w:abstractNumId w:val="40"/>
  </w:num>
  <w:num w:numId="55">
    <w:abstractNumId w:val="4"/>
  </w:num>
  <w:num w:numId="56">
    <w:abstractNumId w:val="36"/>
  </w:num>
  <w:num w:numId="57">
    <w:abstractNumId w:val="9"/>
  </w:num>
  <w:num w:numId="58">
    <w:abstractNumId w:val="4"/>
  </w:num>
  <w:num w:numId="59">
    <w:abstractNumId w:val="12"/>
  </w:num>
  <w:num w:numId="60">
    <w:abstractNumId w:val="28"/>
  </w:num>
  <w:num w:numId="61">
    <w:abstractNumId w:val="8"/>
  </w:num>
  <w:num w:numId="62">
    <w:abstractNumId w:val="17"/>
  </w:num>
  <w:num w:numId="63">
    <w:abstractNumId w:val="4"/>
  </w:num>
  <w:num w:numId="64">
    <w:abstractNumId w:val="4"/>
  </w:num>
  <w:num w:numId="65">
    <w:abstractNumId w:val="4"/>
  </w:num>
  <w:num w:numId="66">
    <w:abstractNumId w:val="4"/>
  </w:num>
  <w:num w:numId="67">
    <w:abstractNumId w:val="20"/>
  </w:num>
  <w:num w:numId="68">
    <w:abstractNumId w:val="37"/>
  </w:num>
  <w:num w:numId="69">
    <w:abstractNumId w:val="18"/>
  </w:num>
  <w:num w:numId="70">
    <w:abstractNumId w:val="9"/>
  </w:num>
  <w:num w:numId="71">
    <w:abstractNumId w:val="9"/>
  </w:num>
  <w:num w:numId="72">
    <w:abstractNumId w:val="10"/>
  </w:num>
  <w:num w:numId="73">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1231"/>
    <w:rsid w:val="000049D8"/>
    <w:rsid w:val="0003544A"/>
    <w:rsid w:val="00036B9E"/>
    <w:rsid w:val="00037DF4"/>
    <w:rsid w:val="0004700E"/>
    <w:rsid w:val="00047287"/>
    <w:rsid w:val="00060686"/>
    <w:rsid w:val="00070C13"/>
    <w:rsid w:val="000715C9"/>
    <w:rsid w:val="00084F33"/>
    <w:rsid w:val="00086FCE"/>
    <w:rsid w:val="000A77A7"/>
    <w:rsid w:val="000B02D6"/>
    <w:rsid w:val="000B1707"/>
    <w:rsid w:val="000C1B3E"/>
    <w:rsid w:val="0010585B"/>
    <w:rsid w:val="00110AE7"/>
    <w:rsid w:val="0011438F"/>
    <w:rsid w:val="001160CA"/>
    <w:rsid w:val="00123578"/>
    <w:rsid w:val="00127DB0"/>
    <w:rsid w:val="00137240"/>
    <w:rsid w:val="00177F4D"/>
    <w:rsid w:val="00180DDA"/>
    <w:rsid w:val="00187E90"/>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1305"/>
    <w:rsid w:val="002A4487"/>
    <w:rsid w:val="002A76A7"/>
    <w:rsid w:val="002B49E9"/>
    <w:rsid w:val="002C632E"/>
    <w:rsid w:val="002D3E8B"/>
    <w:rsid w:val="002D4575"/>
    <w:rsid w:val="002D5C0C"/>
    <w:rsid w:val="002E03D1"/>
    <w:rsid w:val="002E6B74"/>
    <w:rsid w:val="002E6FCA"/>
    <w:rsid w:val="002F59C3"/>
    <w:rsid w:val="002F7BC5"/>
    <w:rsid w:val="0030057A"/>
    <w:rsid w:val="003336CC"/>
    <w:rsid w:val="00336EDF"/>
    <w:rsid w:val="00356CD0"/>
    <w:rsid w:val="00362CD9"/>
    <w:rsid w:val="0036351F"/>
    <w:rsid w:val="003761CA"/>
    <w:rsid w:val="00380DAF"/>
    <w:rsid w:val="003972CE"/>
    <w:rsid w:val="003B28F5"/>
    <w:rsid w:val="003B7B7D"/>
    <w:rsid w:val="003C54CB"/>
    <w:rsid w:val="003C7A2A"/>
    <w:rsid w:val="003D2DC1"/>
    <w:rsid w:val="003D69D0"/>
    <w:rsid w:val="003E2607"/>
    <w:rsid w:val="003F2918"/>
    <w:rsid w:val="003F430E"/>
    <w:rsid w:val="0041088C"/>
    <w:rsid w:val="00420A38"/>
    <w:rsid w:val="00420E97"/>
    <w:rsid w:val="00431B19"/>
    <w:rsid w:val="00437FD2"/>
    <w:rsid w:val="004520B3"/>
    <w:rsid w:val="00455D3C"/>
    <w:rsid w:val="004661AD"/>
    <w:rsid w:val="004737B9"/>
    <w:rsid w:val="004A3F09"/>
    <w:rsid w:val="004D1D85"/>
    <w:rsid w:val="004D3AB6"/>
    <w:rsid w:val="004D3C3A"/>
    <w:rsid w:val="004D482B"/>
    <w:rsid w:val="004D4B1B"/>
    <w:rsid w:val="004E1CD1"/>
    <w:rsid w:val="004E522E"/>
    <w:rsid w:val="005107EB"/>
    <w:rsid w:val="00521345"/>
    <w:rsid w:val="00526DF0"/>
    <w:rsid w:val="00545CC4"/>
    <w:rsid w:val="00551FFF"/>
    <w:rsid w:val="00554B7B"/>
    <w:rsid w:val="00560181"/>
    <w:rsid w:val="005607A2"/>
    <w:rsid w:val="005622DA"/>
    <w:rsid w:val="0057198B"/>
    <w:rsid w:val="00573CFE"/>
    <w:rsid w:val="005969F2"/>
    <w:rsid w:val="00597FAE"/>
    <w:rsid w:val="005B32A3"/>
    <w:rsid w:val="005B7A6E"/>
    <w:rsid w:val="005C0D44"/>
    <w:rsid w:val="005C566C"/>
    <w:rsid w:val="005C7E69"/>
    <w:rsid w:val="005D4961"/>
    <w:rsid w:val="005E262D"/>
    <w:rsid w:val="005E3C32"/>
    <w:rsid w:val="005F23D3"/>
    <w:rsid w:val="005F7E20"/>
    <w:rsid w:val="00605E43"/>
    <w:rsid w:val="006153BB"/>
    <w:rsid w:val="00636BAE"/>
    <w:rsid w:val="00650B5D"/>
    <w:rsid w:val="006652C3"/>
    <w:rsid w:val="00677FAA"/>
    <w:rsid w:val="0068008E"/>
    <w:rsid w:val="00681DFF"/>
    <w:rsid w:val="00691FD0"/>
    <w:rsid w:val="00692148"/>
    <w:rsid w:val="006A13FD"/>
    <w:rsid w:val="006A1A1E"/>
    <w:rsid w:val="006A35F1"/>
    <w:rsid w:val="006A7E45"/>
    <w:rsid w:val="006C5948"/>
    <w:rsid w:val="006F2A74"/>
    <w:rsid w:val="006F4F07"/>
    <w:rsid w:val="00702602"/>
    <w:rsid w:val="007055E4"/>
    <w:rsid w:val="007118F5"/>
    <w:rsid w:val="00712AA4"/>
    <w:rsid w:val="007146C4"/>
    <w:rsid w:val="00721AA1"/>
    <w:rsid w:val="00724B67"/>
    <w:rsid w:val="00731137"/>
    <w:rsid w:val="007547F8"/>
    <w:rsid w:val="007651F9"/>
    <w:rsid w:val="00765622"/>
    <w:rsid w:val="00770B6C"/>
    <w:rsid w:val="00783FEA"/>
    <w:rsid w:val="007A3769"/>
    <w:rsid w:val="007A395D"/>
    <w:rsid w:val="007B69DC"/>
    <w:rsid w:val="007C346C"/>
    <w:rsid w:val="007D7171"/>
    <w:rsid w:val="007E09BC"/>
    <w:rsid w:val="0080294B"/>
    <w:rsid w:val="00822A6E"/>
    <w:rsid w:val="0082480E"/>
    <w:rsid w:val="008456CE"/>
    <w:rsid w:val="00850293"/>
    <w:rsid w:val="00851373"/>
    <w:rsid w:val="00851BA6"/>
    <w:rsid w:val="0085654D"/>
    <w:rsid w:val="00860D67"/>
    <w:rsid w:val="00861160"/>
    <w:rsid w:val="00864DF1"/>
    <w:rsid w:val="0086654F"/>
    <w:rsid w:val="00875CB4"/>
    <w:rsid w:val="008A012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16AB"/>
    <w:rsid w:val="00964F5C"/>
    <w:rsid w:val="00970C53"/>
    <w:rsid w:val="009831C0"/>
    <w:rsid w:val="0099161D"/>
    <w:rsid w:val="009B02F7"/>
    <w:rsid w:val="009B5263"/>
    <w:rsid w:val="00A0389B"/>
    <w:rsid w:val="00A2307E"/>
    <w:rsid w:val="00A27AFD"/>
    <w:rsid w:val="00A33AE9"/>
    <w:rsid w:val="00A35999"/>
    <w:rsid w:val="00A42917"/>
    <w:rsid w:val="00A446C9"/>
    <w:rsid w:val="00A635D6"/>
    <w:rsid w:val="00A72FBB"/>
    <w:rsid w:val="00A8553A"/>
    <w:rsid w:val="00A930C1"/>
    <w:rsid w:val="00A93AED"/>
    <w:rsid w:val="00AC260F"/>
    <w:rsid w:val="00AE1319"/>
    <w:rsid w:val="00AE144D"/>
    <w:rsid w:val="00AE1D72"/>
    <w:rsid w:val="00AE34BB"/>
    <w:rsid w:val="00B226F2"/>
    <w:rsid w:val="00B262AC"/>
    <w:rsid w:val="00B274DF"/>
    <w:rsid w:val="00B43214"/>
    <w:rsid w:val="00B56BDF"/>
    <w:rsid w:val="00B645E6"/>
    <w:rsid w:val="00B65812"/>
    <w:rsid w:val="00B772D8"/>
    <w:rsid w:val="00B85CD6"/>
    <w:rsid w:val="00B90A27"/>
    <w:rsid w:val="00B9554D"/>
    <w:rsid w:val="00BB2B9F"/>
    <w:rsid w:val="00BB7D9E"/>
    <w:rsid w:val="00BC2334"/>
    <w:rsid w:val="00BD3CB8"/>
    <w:rsid w:val="00BD4E6F"/>
    <w:rsid w:val="00BE7DD7"/>
    <w:rsid w:val="00BF32F0"/>
    <w:rsid w:val="00BF4DCE"/>
    <w:rsid w:val="00C05CE5"/>
    <w:rsid w:val="00C11840"/>
    <w:rsid w:val="00C6171E"/>
    <w:rsid w:val="00C7316C"/>
    <w:rsid w:val="00CA6F2C"/>
    <w:rsid w:val="00CB2787"/>
    <w:rsid w:val="00CC1376"/>
    <w:rsid w:val="00CC2DCC"/>
    <w:rsid w:val="00CC7A2F"/>
    <w:rsid w:val="00CF1871"/>
    <w:rsid w:val="00D019CE"/>
    <w:rsid w:val="00D1133E"/>
    <w:rsid w:val="00D17A34"/>
    <w:rsid w:val="00D26628"/>
    <w:rsid w:val="00D315A3"/>
    <w:rsid w:val="00D332B3"/>
    <w:rsid w:val="00D35F15"/>
    <w:rsid w:val="00D37F17"/>
    <w:rsid w:val="00D55207"/>
    <w:rsid w:val="00D55B61"/>
    <w:rsid w:val="00D81801"/>
    <w:rsid w:val="00D9150E"/>
    <w:rsid w:val="00D92B45"/>
    <w:rsid w:val="00D95962"/>
    <w:rsid w:val="00DC389B"/>
    <w:rsid w:val="00DE2FEE"/>
    <w:rsid w:val="00E00BE9"/>
    <w:rsid w:val="00E06B1E"/>
    <w:rsid w:val="00E12660"/>
    <w:rsid w:val="00E22A11"/>
    <w:rsid w:val="00E26DE6"/>
    <w:rsid w:val="00E31E5C"/>
    <w:rsid w:val="00E44DD2"/>
    <w:rsid w:val="00E558C3"/>
    <w:rsid w:val="00E55927"/>
    <w:rsid w:val="00E55BC2"/>
    <w:rsid w:val="00E86CDD"/>
    <w:rsid w:val="00E912A6"/>
    <w:rsid w:val="00E93EDD"/>
    <w:rsid w:val="00E97303"/>
    <w:rsid w:val="00EA4844"/>
    <w:rsid w:val="00EA4D9C"/>
    <w:rsid w:val="00EA5A97"/>
    <w:rsid w:val="00EB75EE"/>
    <w:rsid w:val="00EC0DB9"/>
    <w:rsid w:val="00ED36FD"/>
    <w:rsid w:val="00EE4C1D"/>
    <w:rsid w:val="00EF3685"/>
    <w:rsid w:val="00F04350"/>
    <w:rsid w:val="00F05BF5"/>
    <w:rsid w:val="00F11C4B"/>
    <w:rsid w:val="00F133DB"/>
    <w:rsid w:val="00F159EB"/>
    <w:rsid w:val="00F25BF4"/>
    <w:rsid w:val="00F267DB"/>
    <w:rsid w:val="00F27C5A"/>
    <w:rsid w:val="00F36489"/>
    <w:rsid w:val="00F46F6F"/>
    <w:rsid w:val="00F477DE"/>
    <w:rsid w:val="00F53712"/>
    <w:rsid w:val="00F60608"/>
    <w:rsid w:val="00F62217"/>
    <w:rsid w:val="00FB17A9"/>
    <w:rsid w:val="00FB2945"/>
    <w:rsid w:val="00FB527C"/>
    <w:rsid w:val="00FB6F75"/>
    <w:rsid w:val="00FC0EB3"/>
    <w:rsid w:val="00FC6B9C"/>
    <w:rsid w:val="00FD28A8"/>
    <w:rsid w:val="00FD675E"/>
    <w:rsid w:val="00FE54E2"/>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aliases w:val="Heading 1 CFMU,Para 1,h1,Report Title,H1,Heading,2,l1,1,heading 1,Section Title,Section Title1,Section Title2,Section Title11,Section Title3,Section Title12,Section Title21,Section Title111,Section Title4,Section Title13,Section Title22,ITT t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aliases w:val="Heading 2 CFMU,Para 2,h2,H2,l2,heading 2,Chapter Title,Heaidng 2,sub-sect,section header,sub-sect1,22,sub-sect2,23,sub-sect3,24,sub-sect4,25,sub-sect5,Apt2,Heading 2 TLS,h:2,h:2app,Heading Two,headi,heading2,h21,h22,21,T2,A,UNDERRUBRIK 1-2,h"/>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aliases w:val="Heading 3 CFMU,h3,Para 3,PA Minor Section,Heading 3 CFMU1,Heading 3 CFMU2,Heading 3 CFMU3,Heading 3 CFMU4,Heading 3 CFMU5,H3,l3,3,heading 3,sub-sub,31,sub-sub1,32,sub-sub2,311,sub-sub11,h31,h32,h33,33,h34,34,h35,35,b,3 bullet,SECOND,B1,b1"/>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aliases w:val="PA Micro Section,4,H4,Fourth level,T4,EIVIS Title 4,h4,OT Hdg 4,OT Hdg 41,3559Heading 4,s4,Unterunterabschnitt,4m,Heading 4n,s41,H41,T41,Unterunterabschnitt1,4m1,Bloc,Titre 4 a),l4,mh1l,Module heading 1 large (18 points),l41,mh1l1"/>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aliases w:val="PA Pico Section,5,Title 5,annexe,annexe ntc,h5,OT Hdg 5,OT Hdg 51,mh2,Module heading 2,mh21,Module heading 21,mh22,Module heading 22,Überschrift 51,H51,h51,Überschrift 511,H52,h52,Überschrift 512,H53,h53,Überschrift 513,H54,h54,H55,h55,H511,H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aliases w:val="PA Appendix,Title 6,Titre 5 ntc,H6,Überschrift 61,Überschrift 611,Überschrift 612,Überschrift 613,Überschrift 614,Überschrift 615,Überschrift 6111,Überschrift 6121,Überschrift 6131,Überschrift 6141,Überschrift 616,Überschrift 6112,h6,H61,cnp"/>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aliases w:val="PA Appendix Major,Title 7,App Heading1,h7,Überschrift 71,Überschrift 711,h71,Überschrift 712,Überschrift 7111,h72,Überschrift 713,Überschrift 7112,h73,Überschrift 714,Überschrift 7113,h74,Überschrift 715,Überschrift 7114,h75,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aliases w:val="PA Appendix Minor,(table no.),(requirement),Figure Title,Figure Title1,Appendix Heading 11"/>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aliases w:val="(figure no.)"/>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FMU Char,Para 1 Char,h1 Char,Report Title Char,H1 Char,Heading Char,2 Char,l1 Char,1 Char,heading 1 Char,Section Title Char,Section Title1 Char,Section Title2 Char,Section Title11 Char,Section Title3 Char,Section Title12 Char"/>
    <w:link w:val="Heading1"/>
    <w:rsid w:val="00ED36FD"/>
    <w:rPr>
      <w:rFonts w:cs="Calibri"/>
      <w:b/>
      <w:caps/>
      <w:color w:val="0070C0"/>
      <w:kern w:val="28"/>
      <w:sz w:val="22"/>
      <w:szCs w:val="22"/>
      <w:lang w:eastAsia="de-DE"/>
    </w:rPr>
  </w:style>
  <w:style w:type="character" w:customStyle="1" w:styleId="Heading2Char">
    <w:name w:val="Heading 2 Char"/>
    <w:aliases w:val="Heading 2 CFMU Char,Para 2 Char,h2 Char,H2 Char,l2 Char,heading 2 Char,Chapter Title Char,Heaidng 2 Char,sub-sect Char,section header Char,sub-sect1 Char,22 Char,sub-sect2 Char,23 Char,sub-sect3 Char,24 Char,sub-sect4 Char,25 Char,21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tabs>
        <w:tab w:val="left" w:pos="1134"/>
      </w:tabs>
      <w:spacing w:after="120"/>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731137"/>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aliases w:val="Heading 3 CFMU Char,h3 Char,Para 3 Char,PA Minor Section Char,Heading 3 CFMU1 Char,Heading 3 CFMU2 Char,Heading 3 CFMU3 Char,Heading 3 CFMU4 Char,Heading 3 CFMU5 Char,H3 Char,l3 Char,3 Char,heading 3 Char,sub-sub Char,31 Char,32 Char"/>
    <w:link w:val="Heading3"/>
    <w:rsid w:val="00F36489"/>
    <w:rPr>
      <w:rFonts w:asciiTheme="minorHAnsi" w:hAnsiTheme="minorHAnsi" w:cs="Calibri"/>
      <w:sz w:val="22"/>
      <w:lang w:eastAsia="de-DE"/>
    </w:rPr>
  </w:style>
  <w:style w:type="character" w:customStyle="1" w:styleId="Heading4Char">
    <w:name w:val="Heading 4 Char"/>
    <w:aliases w:val="PA Micro Section Char,4 Char,H4 Char,Fourth level Char,T4 Char,EIVIS Title 4 Char,h4 Char,OT Hdg 4 Char,OT Hdg 41 Char,3559Heading 4 Char,s4 Char,Unterunterabschnitt Char,4m Char,Heading 4n Char,s41 Char,H41 Char,T41 Char,4m1 Char,l4 Char"/>
    <w:link w:val="Heading4"/>
    <w:rsid w:val="00E00BE9"/>
    <w:rPr>
      <w:rFonts w:ascii="Arial" w:hAnsi="Arial" w:cs="Calibri"/>
      <w:szCs w:val="20"/>
      <w:lang w:val="en-US" w:eastAsia="de-DE"/>
    </w:rPr>
  </w:style>
  <w:style w:type="character" w:customStyle="1" w:styleId="Heading5Char">
    <w:name w:val="Heading 5 Char"/>
    <w:aliases w:val="PA Pico Section Char,5 Char,Title 5 Char,annexe Char,annexe ntc Char,h5 Char,OT Hdg 5 Char,OT Hdg 51 Char,mh2 Char,Module heading 2 Char,mh21 Char,Module heading 21 Char,mh22 Char,Module heading 22 Char,Überschrift 51 Char,H51 Char"/>
    <w:link w:val="Heading5"/>
    <w:rsid w:val="00D332B3"/>
    <w:rPr>
      <w:rFonts w:ascii="Arial" w:eastAsia="Times New Roman" w:hAnsi="Arial" w:cs="Times New Roman"/>
      <w:szCs w:val="20"/>
      <w:lang w:val="de-DE" w:eastAsia="de-DE"/>
    </w:rPr>
  </w:style>
  <w:style w:type="character" w:customStyle="1" w:styleId="Heading6Char">
    <w:name w:val="Heading 6 Char"/>
    <w:aliases w:val="PA Appendix Char,Title 6 Char,Titre 5 ntc Char,H6 Char,Überschrift 61 Char,Überschrift 611 Char,Überschrift 612 Char,Überschrift 613 Char,Überschrift 614 Char,Überschrift 615 Char,Überschrift 6111 Char,Überschrift 6121 Char,h6 Char"/>
    <w:link w:val="Heading6"/>
    <w:rsid w:val="00E00BE9"/>
    <w:rPr>
      <w:rFonts w:ascii="Arial" w:hAnsi="Arial" w:cs="Calibri"/>
      <w:szCs w:val="20"/>
      <w:lang w:val="de-DE" w:eastAsia="de-DE"/>
    </w:rPr>
  </w:style>
  <w:style w:type="character" w:customStyle="1" w:styleId="Heading7Char">
    <w:name w:val="Heading 7 Char"/>
    <w:aliases w:val="PA Appendix Major Char,Title 7 Char,App Heading1 Char,h7 Char,Überschrift 71 Char,Überschrift 711 Char,h71 Char,Überschrift 712 Char,Überschrift 7111 Char,h72 Char,Überschrift 713 Char,Überschrift 7112 Char,h73 Char,Überschrift 714 Char"/>
    <w:link w:val="Heading7"/>
    <w:rsid w:val="00E00BE9"/>
    <w:rPr>
      <w:rFonts w:ascii="Arial" w:hAnsi="Arial" w:cs="Calibri"/>
      <w:szCs w:val="20"/>
      <w:lang w:val="de-DE" w:eastAsia="de-DE"/>
    </w:rPr>
  </w:style>
  <w:style w:type="character" w:customStyle="1" w:styleId="Heading8Char">
    <w:name w:val="Heading 8 Char"/>
    <w:aliases w:val="PA Appendix Minor Char,(table no.) Char,(requirement) Char,Figure Title Char,Figure Title1 Char,Appendix Heading 11 Char"/>
    <w:link w:val="Heading8"/>
    <w:rsid w:val="00E00BE9"/>
    <w:rPr>
      <w:rFonts w:ascii="Arial" w:hAnsi="Arial" w:cs="Calibri"/>
      <w:szCs w:val="20"/>
      <w:lang w:val="de-DE" w:eastAsia="de-DE"/>
    </w:rPr>
  </w:style>
  <w:style w:type="character" w:customStyle="1" w:styleId="Heading9Char">
    <w:name w:val="Heading 9 Char"/>
    <w:aliases w:val="(figure no.)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Listado,Bullets,GSA List,S-P puce2,LTP - List,BullList,Bullet List Paragraph,Lettre d'introduction,Numbered paragraph 1,Paragrafo elenco,1st level - Bullet List Paragraph,Heading 4 bullet,bei normal,Párrafo de lista segundo nivel CAP 3"/>
    <w:basedOn w:val="Normal"/>
    <w:link w:val="ListParagraphChar"/>
    <w:uiPriority w:val="34"/>
    <w:qFormat/>
    <w:rsid w:val="00420A38"/>
    <w:pPr>
      <w:ind w:left="720"/>
      <w:contextualSpacing/>
    </w:pPr>
  </w:style>
  <w:style w:type="character" w:styleId="CommentReference">
    <w:name w:val="annotation reference"/>
    <w:basedOn w:val="DefaultParagraphFont"/>
    <w:uiPriority w:val="99"/>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437FD2"/>
    <w:pPr>
      <w:spacing w:before="100" w:beforeAutospacing="1" w:after="100" w:afterAutospacing="1"/>
    </w:pPr>
    <w:rPr>
      <w:rFonts w:ascii="Times New Roman" w:eastAsia="Times New Roman" w:hAnsi="Times New Roman" w:cs="Times New Roman"/>
      <w:sz w:val="24"/>
      <w:szCs w:val="24"/>
      <w:lang w:val="es-ES" w:eastAsia="es-ES"/>
    </w:rPr>
  </w:style>
  <w:style w:type="character" w:styleId="HTMLDefinition">
    <w:name w:val="HTML Definition"/>
    <w:basedOn w:val="DefaultParagraphFont"/>
    <w:uiPriority w:val="99"/>
    <w:semiHidden/>
    <w:unhideWhenUsed/>
    <w:rsid w:val="00437FD2"/>
    <w:rPr>
      <w:i/>
      <w:iCs/>
    </w:rPr>
  </w:style>
  <w:style w:type="paragraph" w:styleId="Caption">
    <w:name w:val="caption"/>
    <w:aliases w:val="Figura MFF,Ca,topic,Legend,c,C,Figure No,topic1,topic2,topic3,3559Caption,topic4,c1,C1,Legend1,topic11,topic21,topic31,3559Caption1,no,topic + 10 pt,Légende italique,kuvateksti,Figure N...,Figure-caption,CAPTION,Figure Caption,Figure-captio"/>
    <w:basedOn w:val="Normal"/>
    <w:next w:val="Normal"/>
    <w:link w:val="CaptionChar"/>
    <w:qFormat/>
    <w:rsid w:val="00001231"/>
    <w:pPr>
      <w:spacing w:before="100" w:beforeAutospacing="1" w:after="100" w:afterAutospacing="1"/>
      <w:jc w:val="center"/>
    </w:pPr>
    <w:rPr>
      <w:rFonts w:ascii="Calibri" w:eastAsia="Times New Roman" w:hAnsi="Calibri" w:cs="Times New Roman"/>
      <w:b/>
      <w:bCs/>
      <w:sz w:val="20"/>
      <w:szCs w:val="20"/>
      <w:lang w:eastAsia="it-IT"/>
    </w:rPr>
  </w:style>
  <w:style w:type="character" w:customStyle="1" w:styleId="CaptionChar">
    <w:name w:val="Caption Char"/>
    <w:aliases w:val="Figura MFF Char,Ca Char,topic Char,Legend Char,c Char,C Char,Figure No Char,topic1 Char,topic2 Char,topic3 Char,3559Caption Char,topic4 Char,c1 Char,C1 Char,Legend1 Char,topic11 Char,topic21 Char,topic31 Char,3559Caption1 Char,no Char"/>
    <w:link w:val="Caption"/>
    <w:uiPriority w:val="35"/>
    <w:rsid w:val="00001231"/>
    <w:rPr>
      <w:rFonts w:eastAsia="Times New Roman"/>
      <w:b/>
      <w:bCs/>
      <w:lang w:eastAsia="it-IT"/>
    </w:rPr>
  </w:style>
  <w:style w:type="character" w:customStyle="1" w:styleId="ListParagraphChar">
    <w:name w:val="List Paragraph Char"/>
    <w:aliases w:val="Listado Char,Bullets Char,GSA List Char,S-P puce2 Char,LTP - List Char,BullList Char,Bullet List Paragraph Char,Lettre d'introduction Char,Numbered paragraph 1 Char,Paragrafo elenco Char,1st level - Bullet List Paragraph Char"/>
    <w:link w:val="ListParagraph"/>
    <w:uiPriority w:val="34"/>
    <w:qFormat/>
    <w:rsid w:val="00001231"/>
    <w:rPr>
      <w:rFonts w:ascii="Arial" w:hAnsi="Arial" w:cs="Calibri"/>
      <w:sz w:val="22"/>
      <w:szCs w:val="22"/>
    </w:rPr>
  </w:style>
  <w:style w:type="paragraph" w:customStyle="1" w:styleId="1GIOStyle">
    <w:name w:val="1 GIO Style"/>
    <w:basedOn w:val="Heading1"/>
    <w:link w:val="1GIOStyleChar"/>
    <w:qFormat/>
    <w:rsid w:val="00001231"/>
    <w:pPr>
      <w:keepLines/>
      <w:pageBreakBefore/>
      <w:tabs>
        <w:tab w:val="num" w:pos="340"/>
      </w:tabs>
      <w:spacing w:before="480" w:after="360"/>
      <w:ind w:left="0" w:right="284" w:firstLine="0"/>
      <w:jc w:val="both"/>
    </w:pPr>
    <w:rPr>
      <w:rFonts w:asciiTheme="minorHAnsi" w:eastAsia="Times New Roman" w:hAnsiTheme="minorHAnsi" w:cstheme="minorHAnsi"/>
      <w:bCs/>
      <w:caps w:val="0"/>
      <w:color w:val="auto"/>
      <w:kern w:val="0"/>
      <w:sz w:val="32"/>
      <w:szCs w:val="32"/>
      <w:lang w:eastAsia="en-GB"/>
    </w:rPr>
  </w:style>
  <w:style w:type="character" w:customStyle="1" w:styleId="1GIOStyleChar">
    <w:name w:val="1 GIO Style Char"/>
    <w:basedOn w:val="DefaultParagraphFont"/>
    <w:link w:val="1GIOStyle"/>
    <w:rsid w:val="00001231"/>
    <w:rPr>
      <w:rFonts w:asciiTheme="minorHAnsi" w:eastAsia="Times New Roman" w:hAnsiTheme="minorHAnsi" w:cstheme="minorHAnsi"/>
      <w:b/>
      <w:bCs/>
      <w:sz w:val="32"/>
      <w:szCs w:val="32"/>
    </w:rPr>
  </w:style>
  <w:style w:type="paragraph" w:customStyle="1" w:styleId="Default">
    <w:name w:val="Default"/>
    <w:rsid w:val="00001231"/>
    <w:pPr>
      <w:autoSpaceDE w:val="0"/>
      <w:autoSpaceDN w:val="0"/>
      <w:adjustRightInd w:val="0"/>
    </w:pPr>
    <w:rPr>
      <w:rFonts w:eastAsia="Times New Roman" w:cs="Calibri"/>
      <w:color w:val="000000"/>
      <w:sz w:val="24"/>
      <w:szCs w:val="24"/>
      <w:lang w:val="es-ES" w:eastAsia="en-US"/>
    </w:rPr>
  </w:style>
  <w:style w:type="paragraph" w:customStyle="1" w:styleId="Style1">
    <w:name w:val="Style1"/>
    <w:basedOn w:val="1GIOStyle"/>
    <w:qFormat/>
    <w:rsid w:val="00001231"/>
  </w:style>
  <w:style w:type="table" w:styleId="GridTable1Light-Accent3">
    <w:name w:val="Grid Table 1 Light Accent 3"/>
    <w:basedOn w:val="TableNormal"/>
    <w:uiPriority w:val="46"/>
    <w:rsid w:val="00001231"/>
    <w:rPr>
      <w:rFonts w:ascii="Times New Roman" w:eastAsia="Times New Roman" w:hAnsi="Times New Roman"/>
      <w:lang w:val="en-US"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3GIOStyle">
    <w:name w:val="3 GIO Style"/>
    <w:basedOn w:val="Heading3"/>
    <w:link w:val="3GIOStyleChar"/>
    <w:qFormat/>
    <w:rsid w:val="00B43214"/>
    <w:pPr>
      <w:keepNext w:val="0"/>
      <w:numPr>
        <w:numId w:val="1"/>
      </w:numPr>
      <w:tabs>
        <w:tab w:val="num" w:pos="1276"/>
      </w:tabs>
      <w:spacing w:before="240" w:after="60"/>
      <w:ind w:left="709"/>
      <w:jc w:val="both"/>
    </w:pPr>
    <w:rPr>
      <w:rFonts w:cs="Times New Roman"/>
      <w:b/>
      <w:sz w:val="24"/>
      <w:szCs w:val="24"/>
      <w:lang w:eastAsia="en-GB"/>
    </w:rPr>
  </w:style>
  <w:style w:type="character" w:customStyle="1" w:styleId="3GIOStyleChar">
    <w:name w:val="3 GIO Style Char"/>
    <w:basedOn w:val="DefaultParagraphFont"/>
    <w:link w:val="3GIOStyle"/>
    <w:rsid w:val="00B43214"/>
    <w:rPr>
      <w:rFonts w:asciiTheme="minorHAnsi" w:hAnsiTheme="minorHAnsi"/>
      <w:b/>
      <w:sz w:val="24"/>
      <w:szCs w:val="24"/>
    </w:rPr>
  </w:style>
  <w:style w:type="paragraph" w:customStyle="1" w:styleId="Table0">
    <w:name w:val="Table"/>
    <w:basedOn w:val="Normal"/>
    <w:qFormat/>
    <w:rsid w:val="004D482B"/>
    <w:pPr>
      <w:spacing w:before="100" w:beforeAutospacing="1" w:after="100" w:afterAutospacing="1"/>
      <w:contextualSpacing/>
      <w:jc w:val="both"/>
    </w:pPr>
    <w:rPr>
      <w:rFonts w:ascii="Calibri" w:eastAsia="Times New Roman" w:hAnsi="Calibri"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849470">
      <w:bodyDiv w:val="1"/>
      <w:marLeft w:val="0"/>
      <w:marRight w:val="0"/>
      <w:marTop w:val="0"/>
      <w:marBottom w:val="0"/>
      <w:divBdr>
        <w:top w:val="none" w:sz="0" w:space="0" w:color="auto"/>
        <w:left w:val="none" w:sz="0" w:space="0" w:color="auto"/>
        <w:bottom w:val="none" w:sz="0" w:space="0" w:color="auto"/>
        <w:right w:val="none" w:sz="0" w:space="0" w:color="auto"/>
      </w:divBdr>
    </w:div>
    <w:div w:id="116112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gmdss.com/gmdss-courses/mod/glossary/showentry.php?eid=1315&amp;displayformat=dictionar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FA7A8-4DE8-470A-8894-37DCD07879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6203C9-82E3-4FD5-8BC1-F8A1C1DDB50B}">
  <ds:schemaRefs>
    <ds:schemaRef ds:uri="http://schemas.microsoft.com/sharepoint/v3/contenttype/forms"/>
  </ds:schemaRefs>
</ds:datastoreItem>
</file>

<file path=customXml/itemProps3.xml><?xml version="1.0" encoding="utf-8"?>
<ds:datastoreItem xmlns:ds="http://schemas.openxmlformats.org/officeDocument/2006/customXml" ds:itemID="{5E45F05B-7B85-4791-9053-9779A8A8C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638FB3-7B1A-458E-90CF-7316C2B31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2269</Words>
  <Characters>12936</Characters>
  <Application>Microsoft Office Word</Application>
  <DocSecurity>0</DocSecurity>
  <Lines>107</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Alvarez, Jaime - IALA</cp:lastModifiedBy>
  <cp:revision>10</cp:revision>
  <dcterms:created xsi:type="dcterms:W3CDTF">2020-08-28T14:36:00Z</dcterms:created>
  <dcterms:modified xsi:type="dcterms:W3CDTF">2020-10-05T14:43:00Z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